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9576"/>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Content>
            <w:tc>
              <w:tcPr>
                <w:tcW w:w="9576" w:type="dxa"/>
              </w:tcPr>
              <w:p w:rsidR="009E5F3C" w:rsidRDefault="000458E6" w:rsidP="000458E6">
                <w:r>
                  <w:t>Adam Fraeyman</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Content>
            <w:tc>
              <w:tcPr>
                <w:tcW w:w="9576" w:type="dxa"/>
              </w:tcPr>
              <w:p w:rsidR="009E5F3C" w:rsidRDefault="000458E6" w:rsidP="000458E6">
                <w:r>
                  <w:t>9A - 2</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Content>
            <w:tc>
              <w:tcPr>
                <w:tcW w:w="9576" w:type="dxa"/>
              </w:tcPr>
              <w:p w:rsidR="009E5F3C" w:rsidRDefault="000458E6" w:rsidP="000458E6">
                <w:r>
                  <w:t>How does healing occur following extraction?</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rPr>
              <w:snapToGrid w:val="0"/>
              <w:szCs w:val="20"/>
            </w:rPr>
          </w:sdtEndPr>
          <w:sdtContent>
            <w:tc>
              <w:tcPr>
                <w:tcW w:w="9576" w:type="dxa"/>
              </w:tcPr>
              <w:p w:rsidR="000458E6" w:rsidRDefault="000458E6" w:rsidP="000458E6">
                <w:pPr>
                  <w:pStyle w:val="NormalWeb"/>
                  <w:spacing w:before="0" w:beforeAutospacing="0" w:after="0" w:afterAutospacing="0"/>
                </w:pPr>
                <w:r>
                  <w:rPr>
                    <w:rFonts w:ascii="Arial" w:hAnsi="Arial" w:cs="Arial"/>
                    <w:color w:val="333333"/>
                    <w:sz w:val="27"/>
                    <w:szCs w:val="27"/>
                    <w:shd w:val="clear" w:color="auto" w:fill="FFFFFF"/>
                  </w:rPr>
                  <w:t>After a tooth extraction, there is a period of wound healing. As a normal biological process in the human body, this healing is achieved through four highly programmed phases: hemostasis, inflammation, proliferation, and remodeling. </w:t>
                </w:r>
              </w:p>
              <w:p w:rsidR="000458E6" w:rsidRDefault="000458E6" w:rsidP="000458E6">
                <w:pPr>
                  <w:pStyle w:val="NormalWeb"/>
                  <w:spacing w:before="0" w:beforeAutospacing="0" w:after="0" w:afterAutospacing="0"/>
                </w:pPr>
                <w:r>
                  <w:rPr>
                    <w:rFonts w:ascii="Arial" w:hAnsi="Arial" w:cs="Arial"/>
                    <w:color w:val="333333"/>
                    <w:sz w:val="27"/>
                    <w:szCs w:val="27"/>
                    <w:shd w:val="clear" w:color="auto" w:fill="FFFFFF"/>
                  </w:rPr>
                  <w:t>These phases are overlapping as there is not a clear cut start and end to each phase before the next begins, but rather a chain of events. Many variables can alter one stage or many stages of this pathway, thus causing improper tissue repair; factors such as pocket depth, size of tooth extracted, and patient medical history. It is important to note that the bone structure will take longer to heal than the surrounding gingiva. </w:t>
                </w:r>
              </w:p>
              <w:p w:rsidR="000458E6" w:rsidRDefault="000458E6" w:rsidP="000458E6">
                <w:pPr>
                  <w:pStyle w:val="NormalWeb"/>
                  <w:spacing w:before="0" w:beforeAutospacing="0" w:after="0" w:afterAutospacing="0"/>
                </w:pPr>
                <w:r>
                  <w:rPr>
                    <w:rFonts w:ascii="Arial" w:hAnsi="Arial" w:cs="Arial"/>
                    <w:color w:val="333333"/>
                    <w:sz w:val="27"/>
                    <w:szCs w:val="27"/>
                    <w:shd w:val="clear" w:color="auto" w:fill="FFFFFF"/>
                  </w:rPr>
                  <w:t>The first step of wound healing is hemostasis and begins immediately after the tooth is removed as evidenced by the bleeding that occurs on site. This vascular constriction causes the release of inflammatory cytokines and growth factors which ultimately leads to blood clot formation After the clot has formed and bleeding is controlled, inflammatory cells migrate into the wound to begin phase 2, or the inflammation phase. </w:t>
                </w:r>
              </w:p>
              <w:p w:rsidR="000458E6" w:rsidRDefault="000458E6" w:rsidP="000458E6">
                <w:pPr>
                  <w:pStyle w:val="NormalWeb"/>
                  <w:spacing w:before="0" w:beforeAutospacing="0" w:after="0" w:afterAutospacing="0"/>
                </w:pPr>
                <w:r>
                  <w:rPr>
                    <w:rFonts w:ascii="Arial" w:hAnsi="Arial" w:cs="Arial"/>
                    <w:color w:val="333333"/>
                    <w:sz w:val="27"/>
                    <w:szCs w:val="27"/>
                    <w:shd w:val="clear" w:color="auto" w:fill="FFFFFF"/>
                  </w:rPr>
                  <w:t>This second phase can be seen by the inflamed or tender gingiva around the extraction site and is due to the rapid influx of neutrophils, macrophages, and lymphocytes to the extraction site. Together, these biomolecules remove cellular debris from the area, clearing apoptotic cells, and ultimately promote the transition to the proliferative phase of healing. </w:t>
                </w:r>
              </w:p>
              <w:p w:rsidR="000458E6" w:rsidRDefault="000458E6" w:rsidP="000458E6">
                <w:pPr>
                  <w:pStyle w:val="NormalWeb"/>
                  <w:spacing w:before="0" w:beforeAutospacing="0" w:after="0" w:afterAutospacing="0"/>
                </w:pPr>
                <w:r>
                  <w:rPr>
                    <w:rFonts w:ascii="Arial" w:hAnsi="Arial" w:cs="Arial"/>
                    <w:color w:val="333333"/>
                    <w:sz w:val="27"/>
                    <w:szCs w:val="27"/>
                    <w:shd w:val="clear" w:color="auto" w:fill="FFFFFF"/>
                  </w:rPr>
                  <w:t>The third phase of proliferation typically overlaps the inflammatory phase since you can’t have one process without the other. Fibroblasts and endothelial cells are most important in this step in order to rebuild collagen and reform granulation at the site of the extraction in order to rebuild a strong extracellular matrix. </w:t>
                </w:r>
              </w:p>
              <w:p w:rsidR="000458E6" w:rsidRDefault="000458E6" w:rsidP="000458E6">
                <w:pPr>
                  <w:pStyle w:val="NormalWeb"/>
                  <w:spacing w:before="0" w:beforeAutospacing="0" w:after="0" w:afterAutospacing="0"/>
                  <w:rPr>
                    <w:rFonts w:ascii="Arial" w:hAnsi="Arial" w:cs="Arial"/>
                    <w:color w:val="333333"/>
                    <w:sz w:val="27"/>
                    <w:szCs w:val="27"/>
                    <w:shd w:val="clear" w:color="auto" w:fill="FFFFFF"/>
                  </w:rPr>
                </w:pPr>
                <w:r>
                  <w:rPr>
                    <w:rFonts w:ascii="Arial" w:hAnsi="Arial" w:cs="Arial"/>
                    <w:color w:val="333333"/>
                    <w:sz w:val="27"/>
                    <w:szCs w:val="27"/>
                    <w:shd w:val="clear" w:color="auto" w:fill="FFFFFF"/>
                  </w:rPr>
                  <w:t>The fourth and final phase is the remodeling phase which ultimately can last for many years. This stage uses the recently reformed ECM to provide vasculation to the tissue again, reduce swelling and attempt to regain normal function of the area again by reforming the collagen. </w:t>
                </w:r>
              </w:p>
              <w:p w:rsidR="000458E6" w:rsidRDefault="000458E6" w:rsidP="000458E6">
                <w:pPr>
                  <w:pStyle w:val="NormalWeb"/>
                  <w:spacing w:before="0" w:beforeAutospacing="0" w:after="0" w:afterAutospacing="0"/>
                </w:pPr>
                <w:r w:rsidRPr="000458E6">
                  <w:lastRenderedPageBreak/>
                  <w:drawing>
                    <wp:inline distT="0" distB="0" distL="0" distR="0">
                      <wp:extent cx="5121677" cy="2575367"/>
                      <wp:effectExtent l="19050" t="0" r="2773" b="0"/>
                      <wp:docPr id="1" name="Picture 1" descr="https://lh3.googleusercontent.com/ezdYpReEik-butUYN2obcIcO7SiP9-XUkp0gK7QN3EilsNWuWe_YLANpfUzhsgmyVK9oDjV0kMiGqfB1DHTNT3As2T3Lds66fuVNKZkZ18aDOH-lACJffjmLyaNl-jd5Is8hQrlK"/>
                      <wp:cNvGraphicFramePr/>
                      <a:graphic xmlns:a="http://schemas.openxmlformats.org/drawingml/2006/main">
                        <a:graphicData uri="http://schemas.openxmlformats.org/drawingml/2006/picture">
                          <pic:pic xmlns:pic="http://schemas.openxmlformats.org/drawingml/2006/picture">
                            <pic:nvPicPr>
                              <pic:cNvPr id="4" name="Picture 2" descr="https://lh3.googleusercontent.com/ezdYpReEik-butUYN2obcIcO7SiP9-XUkp0gK7QN3EilsNWuWe_YLANpfUzhsgmyVK9oDjV0kMiGqfB1DHTNT3As2T3Lds66fuVNKZkZ18aDOH-lACJffjmLyaNl-jd5Is8hQrlK"/>
                              <pic:cNvPicPr>
                                <a:picLocks noChangeAspect="1" noChangeArrowheads="1"/>
                              </pic:cNvPicPr>
                            </pic:nvPicPr>
                            <pic:blipFill>
                              <a:blip r:embed="rId11"/>
                              <a:srcRect t="12630"/>
                              <a:stretch>
                                <a:fillRect/>
                              </a:stretch>
                            </pic:blipFill>
                            <pic:spPr bwMode="auto">
                              <a:xfrm>
                                <a:off x="0" y="0"/>
                                <a:ext cx="5123236" cy="2576151"/>
                              </a:xfrm>
                              <a:prstGeom prst="rect">
                                <a:avLst/>
                              </a:prstGeom>
                              <a:noFill/>
                            </pic:spPr>
                          </pic:pic>
                        </a:graphicData>
                      </a:graphic>
                    </wp:inline>
                  </w:drawing>
                </w:r>
              </w:p>
              <w:p w:rsidR="009E5F3C" w:rsidRDefault="009E5F3C" w:rsidP="00292BEF"/>
            </w:tc>
          </w:sdtContent>
        </w:sdt>
      </w:tr>
      <w:tr w:rsidR="009E5F3C" w:rsidTr="00292BEF">
        <w:tc>
          <w:tcPr>
            <w:tcW w:w="9576" w:type="dxa"/>
          </w:tcPr>
          <w:p w:rsidR="009E5F3C" w:rsidRPr="00CA07DB" w:rsidRDefault="009E5F3C" w:rsidP="009E5F3C">
            <w:pPr>
              <w:rPr>
                <w:b/>
              </w:rPr>
            </w:pPr>
            <w:r w:rsidRPr="00CA07DB">
              <w:rPr>
                <w:b/>
              </w:rPr>
              <w:lastRenderedPageBreak/>
              <w:t>R</w:t>
            </w:r>
            <w:r>
              <w:rPr>
                <w:b/>
              </w:rPr>
              <w:t>eferences</w:t>
            </w:r>
            <w:r w:rsidRPr="00CA07DB">
              <w:rPr>
                <w:b/>
              </w:rPr>
              <w:t>:</w:t>
            </w:r>
          </w:p>
        </w:tc>
      </w:tr>
      <w:tr w:rsidR="009E5F3C" w:rsidTr="00292BEF">
        <w:sdt>
          <w:sdtPr>
            <w:id w:val="212933590"/>
            <w:placeholder>
              <w:docPart w:val="C4991867720F49C19930584789DA5267"/>
            </w:placeholder>
          </w:sdtPr>
          <w:sdtContent>
            <w:tc>
              <w:tcPr>
                <w:tcW w:w="9576" w:type="dxa"/>
              </w:tcPr>
              <w:p w:rsidR="00000000" w:rsidRPr="000458E6" w:rsidRDefault="00751D8D" w:rsidP="000458E6">
                <w:pPr>
                  <w:numPr>
                    <w:ilvl w:val="0"/>
                    <w:numId w:val="1"/>
                  </w:numPr>
                </w:pPr>
                <w:r w:rsidRPr="000458E6">
                  <w:t xml:space="preserve">Adeyemo, Wasiu Lanre, et al. “Clinical Evaluation of Post-Extraction Site Wound Healing.” </w:t>
                </w:r>
                <w:r w:rsidRPr="000458E6">
                  <w:rPr>
                    <w:i/>
                    <w:iCs/>
                  </w:rPr>
                  <w:t>The Journal of Contemporary Dental Practice</w:t>
                </w:r>
                <w:r w:rsidRPr="000458E6">
                  <w:t xml:space="preserve">, vol. 7, no. 3, 1 July 2006, pp. 40–49., doi:10.5005/jcdp-7-3-40. </w:t>
                </w:r>
              </w:p>
              <w:p w:rsidR="00000000" w:rsidRPr="000458E6" w:rsidRDefault="00751D8D" w:rsidP="000458E6">
                <w:pPr>
                  <w:numPr>
                    <w:ilvl w:val="0"/>
                    <w:numId w:val="1"/>
                  </w:numPr>
                </w:pPr>
                <w:r w:rsidRPr="000458E6">
                  <w:t>Gos</w:t>
                </w:r>
                <w:r w:rsidRPr="000458E6">
                  <w:t xml:space="preserve">ain, Ankush, and Luisa A. Dipietro. “Aging and Wound Healing.” </w:t>
                </w:r>
                <w:r w:rsidRPr="000458E6">
                  <w:rPr>
                    <w:i/>
                    <w:iCs/>
                  </w:rPr>
                  <w:t>World Journal of Surgery</w:t>
                </w:r>
                <w:r w:rsidRPr="000458E6">
                  <w:t xml:space="preserve">, vol. 28, no. 3, 2004, pp. 321–326., doi:10.1007/s00268-003-7397-6. </w:t>
                </w:r>
              </w:p>
              <w:p w:rsidR="00000000" w:rsidRPr="000458E6" w:rsidRDefault="00751D8D" w:rsidP="000458E6">
                <w:pPr>
                  <w:numPr>
                    <w:ilvl w:val="0"/>
                    <w:numId w:val="1"/>
                  </w:numPr>
                </w:pPr>
                <w:r w:rsidRPr="000458E6">
                  <w:t xml:space="preserve">Guo, S., and L.a. Dipietro. “Factors Affecting Wound Healing.” </w:t>
                </w:r>
                <w:r w:rsidRPr="000458E6">
                  <w:rPr>
                    <w:i/>
                    <w:iCs/>
                  </w:rPr>
                  <w:t>Journal of Dental Research</w:t>
                </w:r>
                <w:r w:rsidRPr="000458E6">
                  <w:t>, vol. 89</w:t>
                </w:r>
                <w:r w:rsidRPr="000458E6">
                  <w:t xml:space="preserve">, no. 3, 2010, pp. 219–229., doi:10.1177/0022034509359125. </w:t>
                </w:r>
              </w:p>
              <w:p w:rsidR="00000000" w:rsidRPr="000458E6" w:rsidRDefault="00751D8D" w:rsidP="000458E6">
                <w:pPr>
                  <w:numPr>
                    <w:ilvl w:val="0"/>
                    <w:numId w:val="1"/>
                  </w:numPr>
                </w:pPr>
                <w:r w:rsidRPr="000458E6">
                  <w:t xml:space="preserve">Sutera, Charles. www.aestheticsmilereconstruction.com/2020/06/02/how-long-does-it-take-the-hole-to-close-after-a-tooth-extraction/. </w:t>
                </w:r>
              </w:p>
              <w:p w:rsidR="009E5F3C" w:rsidRDefault="00751D8D" w:rsidP="00292BEF">
                <w:pPr>
                  <w:numPr>
                    <w:ilvl w:val="0"/>
                    <w:numId w:val="1"/>
                  </w:numPr>
                </w:pPr>
                <w:r w:rsidRPr="000458E6">
                  <w:t xml:space="preserve">“Tooth Extraction Healing Pictures.” </w:t>
                </w:r>
                <w:r w:rsidRPr="000458E6">
                  <w:rPr>
                    <w:i/>
                    <w:iCs/>
                  </w:rPr>
                  <w:t>Animated-Teeth.com</w:t>
                </w:r>
                <w:r w:rsidRPr="000458E6">
                  <w:t>, 17 O</w:t>
                </w:r>
                <w:r w:rsidRPr="000458E6">
                  <w:t xml:space="preserve">ct. 2019, www.animated-teeth.com/tooth_extractions/a-tooth-extraction-healing-times.htm. </w:t>
                </w:r>
              </w:p>
            </w:tc>
          </w:sdtContent>
        </w:sdt>
      </w:tr>
    </w:tbl>
    <w:p w:rsidR="00DF1FAB" w:rsidRPr="00292BEF" w:rsidRDefault="00DF1FAB" w:rsidP="00292BEF"/>
    <w:sectPr w:rsidR="00DF1FAB" w:rsidRPr="00292BEF" w:rsidSect="00BC09F7">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D8D" w:rsidRDefault="00751D8D" w:rsidP="00292BEF">
      <w:r>
        <w:separator/>
      </w:r>
    </w:p>
  </w:endnote>
  <w:endnote w:type="continuationSeparator" w:id="0">
    <w:p w:rsidR="00751D8D" w:rsidRDefault="00751D8D" w:rsidP="00292BE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D8D" w:rsidRDefault="00751D8D" w:rsidP="00292BEF">
      <w:r>
        <w:separator/>
      </w:r>
    </w:p>
  </w:footnote>
  <w:footnote w:type="continuationSeparator" w:id="0">
    <w:p w:rsidR="00751D8D" w:rsidRDefault="00751D8D" w:rsidP="00292B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4ED"/>
    <w:multiLevelType w:val="hybridMultilevel"/>
    <w:tmpl w:val="EE98C9A6"/>
    <w:lvl w:ilvl="0" w:tplc="79042524">
      <w:start w:val="1"/>
      <w:numFmt w:val="bullet"/>
      <w:lvlText w:val="•"/>
      <w:lvlJc w:val="left"/>
      <w:pPr>
        <w:tabs>
          <w:tab w:val="num" w:pos="720"/>
        </w:tabs>
        <w:ind w:left="720" w:hanging="360"/>
      </w:pPr>
      <w:rPr>
        <w:rFonts w:ascii="Arial" w:hAnsi="Arial" w:hint="default"/>
      </w:rPr>
    </w:lvl>
    <w:lvl w:ilvl="1" w:tplc="5DD297B2" w:tentative="1">
      <w:start w:val="1"/>
      <w:numFmt w:val="bullet"/>
      <w:lvlText w:val="•"/>
      <w:lvlJc w:val="left"/>
      <w:pPr>
        <w:tabs>
          <w:tab w:val="num" w:pos="1440"/>
        </w:tabs>
        <w:ind w:left="1440" w:hanging="360"/>
      </w:pPr>
      <w:rPr>
        <w:rFonts w:ascii="Arial" w:hAnsi="Arial" w:hint="default"/>
      </w:rPr>
    </w:lvl>
    <w:lvl w:ilvl="2" w:tplc="2FB0F0B8" w:tentative="1">
      <w:start w:val="1"/>
      <w:numFmt w:val="bullet"/>
      <w:lvlText w:val="•"/>
      <w:lvlJc w:val="left"/>
      <w:pPr>
        <w:tabs>
          <w:tab w:val="num" w:pos="2160"/>
        </w:tabs>
        <w:ind w:left="2160" w:hanging="360"/>
      </w:pPr>
      <w:rPr>
        <w:rFonts w:ascii="Arial" w:hAnsi="Arial" w:hint="default"/>
      </w:rPr>
    </w:lvl>
    <w:lvl w:ilvl="3" w:tplc="6ED41D88" w:tentative="1">
      <w:start w:val="1"/>
      <w:numFmt w:val="bullet"/>
      <w:lvlText w:val="•"/>
      <w:lvlJc w:val="left"/>
      <w:pPr>
        <w:tabs>
          <w:tab w:val="num" w:pos="2880"/>
        </w:tabs>
        <w:ind w:left="2880" w:hanging="360"/>
      </w:pPr>
      <w:rPr>
        <w:rFonts w:ascii="Arial" w:hAnsi="Arial" w:hint="default"/>
      </w:rPr>
    </w:lvl>
    <w:lvl w:ilvl="4" w:tplc="5F76C134" w:tentative="1">
      <w:start w:val="1"/>
      <w:numFmt w:val="bullet"/>
      <w:lvlText w:val="•"/>
      <w:lvlJc w:val="left"/>
      <w:pPr>
        <w:tabs>
          <w:tab w:val="num" w:pos="3600"/>
        </w:tabs>
        <w:ind w:left="3600" w:hanging="360"/>
      </w:pPr>
      <w:rPr>
        <w:rFonts w:ascii="Arial" w:hAnsi="Arial" w:hint="default"/>
      </w:rPr>
    </w:lvl>
    <w:lvl w:ilvl="5" w:tplc="8A2C321E" w:tentative="1">
      <w:start w:val="1"/>
      <w:numFmt w:val="bullet"/>
      <w:lvlText w:val="•"/>
      <w:lvlJc w:val="left"/>
      <w:pPr>
        <w:tabs>
          <w:tab w:val="num" w:pos="4320"/>
        </w:tabs>
        <w:ind w:left="4320" w:hanging="360"/>
      </w:pPr>
      <w:rPr>
        <w:rFonts w:ascii="Arial" w:hAnsi="Arial" w:hint="default"/>
      </w:rPr>
    </w:lvl>
    <w:lvl w:ilvl="6" w:tplc="23AE366E" w:tentative="1">
      <w:start w:val="1"/>
      <w:numFmt w:val="bullet"/>
      <w:lvlText w:val="•"/>
      <w:lvlJc w:val="left"/>
      <w:pPr>
        <w:tabs>
          <w:tab w:val="num" w:pos="5040"/>
        </w:tabs>
        <w:ind w:left="5040" w:hanging="360"/>
      </w:pPr>
      <w:rPr>
        <w:rFonts w:ascii="Arial" w:hAnsi="Arial" w:hint="default"/>
      </w:rPr>
    </w:lvl>
    <w:lvl w:ilvl="7" w:tplc="79EA984C" w:tentative="1">
      <w:start w:val="1"/>
      <w:numFmt w:val="bullet"/>
      <w:lvlText w:val="•"/>
      <w:lvlJc w:val="left"/>
      <w:pPr>
        <w:tabs>
          <w:tab w:val="num" w:pos="5760"/>
        </w:tabs>
        <w:ind w:left="5760" w:hanging="360"/>
      </w:pPr>
      <w:rPr>
        <w:rFonts w:ascii="Arial" w:hAnsi="Arial" w:hint="default"/>
      </w:rPr>
    </w:lvl>
    <w:lvl w:ilvl="8" w:tplc="4554054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defaultTabStop w:val="720"/>
  <w:characterSpacingControl w:val="doNotCompress"/>
  <w:footnotePr>
    <w:footnote w:id="-1"/>
    <w:footnote w:id="0"/>
  </w:footnotePr>
  <w:endnotePr>
    <w:endnote w:id="-1"/>
    <w:endnote w:id="0"/>
  </w:endnotePr>
  <w:compat/>
  <w:rsids>
    <w:rsidRoot w:val="00292BEF"/>
    <w:rsid w:val="00036D78"/>
    <w:rsid w:val="000458E6"/>
    <w:rsid w:val="002223D1"/>
    <w:rsid w:val="00246C4B"/>
    <w:rsid w:val="00292BEF"/>
    <w:rsid w:val="003440A0"/>
    <w:rsid w:val="006B50F8"/>
    <w:rsid w:val="00751D8D"/>
    <w:rsid w:val="007B6610"/>
    <w:rsid w:val="009E5F3C"/>
    <w:rsid w:val="00B50056"/>
    <w:rsid w:val="00BC09F7"/>
    <w:rsid w:val="00CA07DB"/>
    <w:rsid w:val="00CA1BEB"/>
    <w:rsid w:val="00DF1FAB"/>
    <w:rsid w:val="00F350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0" w:qFormat="1"/>
    <w:lsdException w:name="Title" w:semiHidden="0" w:uiPriority="0" w:unhideWhenUsed="0" w:qFormat="1"/>
    <w:lsdException w:name="Default Paragraph Font" w:locked="0" w:uiPriority="1"/>
    <w:lsdException w:name="Subtitle" w:semiHidden="0" w:uiPriority="0" w:unhideWhenUsed="0" w:qFormat="1"/>
    <w:lsdException w:name="Strong" w:semiHidden="0" w:uiPriority="0" w:unhideWhenUsed="0" w:qFormat="1"/>
    <w:lsdException w:name="Emphasis" w:semiHidden="0" w:uiPriority="0" w:unhideWhenUsed="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0458E6"/>
    <w:pPr>
      <w:widowControl/>
      <w:spacing w:before="100" w:beforeAutospacing="1" w:after="100" w:afterAutospacing="1"/>
    </w:pPr>
    <w:rPr>
      <w:snapToGrid/>
      <w:szCs w:val="24"/>
    </w:rPr>
  </w:style>
  <w:style w:type="paragraph" w:styleId="ListParagraph">
    <w:name w:val="List Paragraph"/>
    <w:basedOn w:val="Normal"/>
    <w:uiPriority w:val="34"/>
    <w:qFormat/>
    <w:locked/>
    <w:rsid w:val="000458E6"/>
    <w:pPr>
      <w:widowControl/>
      <w:ind w:left="720"/>
      <w:contextualSpacing/>
    </w:pPr>
    <w:rPr>
      <w:snapToGrid/>
      <w:szCs w:val="24"/>
    </w:rPr>
  </w:style>
</w:styles>
</file>

<file path=word/webSettings.xml><?xml version="1.0" encoding="utf-8"?>
<w:webSettings xmlns:r="http://schemas.openxmlformats.org/officeDocument/2006/relationships" xmlns:w="http://schemas.openxmlformats.org/wordprocessingml/2006/main">
  <w:divs>
    <w:div w:id="509881034">
      <w:bodyDiv w:val="1"/>
      <w:marLeft w:val="0"/>
      <w:marRight w:val="0"/>
      <w:marTop w:val="0"/>
      <w:marBottom w:val="0"/>
      <w:divBdr>
        <w:top w:val="none" w:sz="0" w:space="0" w:color="auto"/>
        <w:left w:val="none" w:sz="0" w:space="0" w:color="auto"/>
        <w:bottom w:val="none" w:sz="0" w:space="0" w:color="auto"/>
        <w:right w:val="none" w:sz="0" w:space="0" w:color="auto"/>
      </w:divBdr>
    </w:div>
    <w:div w:id="973288347">
      <w:bodyDiv w:val="1"/>
      <w:marLeft w:val="0"/>
      <w:marRight w:val="0"/>
      <w:marTop w:val="0"/>
      <w:marBottom w:val="0"/>
      <w:divBdr>
        <w:top w:val="none" w:sz="0" w:space="0" w:color="auto"/>
        <w:left w:val="none" w:sz="0" w:space="0" w:color="auto"/>
        <w:bottom w:val="none" w:sz="0" w:space="0" w:color="auto"/>
        <w:right w:val="none" w:sz="0" w:space="0" w:color="auto"/>
      </w:divBdr>
    </w:div>
    <w:div w:id="1042098131">
      <w:bodyDiv w:val="1"/>
      <w:marLeft w:val="0"/>
      <w:marRight w:val="0"/>
      <w:marTop w:val="0"/>
      <w:marBottom w:val="0"/>
      <w:divBdr>
        <w:top w:val="none" w:sz="0" w:space="0" w:color="auto"/>
        <w:left w:val="none" w:sz="0" w:space="0" w:color="auto"/>
        <w:bottom w:val="none" w:sz="0" w:space="0" w:color="auto"/>
        <w:right w:val="none" w:sz="0" w:space="0" w:color="auto"/>
      </w:divBdr>
      <w:divsChild>
        <w:div w:id="1275137507">
          <w:marLeft w:val="547"/>
          <w:marRight w:val="0"/>
          <w:marTop w:val="106"/>
          <w:marBottom w:val="0"/>
          <w:divBdr>
            <w:top w:val="none" w:sz="0" w:space="0" w:color="auto"/>
            <w:left w:val="none" w:sz="0" w:space="0" w:color="auto"/>
            <w:bottom w:val="none" w:sz="0" w:space="0" w:color="auto"/>
            <w:right w:val="none" w:sz="0" w:space="0" w:color="auto"/>
          </w:divBdr>
        </w:div>
        <w:div w:id="1315257174">
          <w:marLeft w:val="547"/>
          <w:marRight w:val="0"/>
          <w:marTop w:val="106"/>
          <w:marBottom w:val="0"/>
          <w:divBdr>
            <w:top w:val="none" w:sz="0" w:space="0" w:color="auto"/>
            <w:left w:val="none" w:sz="0" w:space="0" w:color="auto"/>
            <w:bottom w:val="none" w:sz="0" w:space="0" w:color="auto"/>
            <w:right w:val="none" w:sz="0" w:space="0" w:color="auto"/>
          </w:divBdr>
        </w:div>
        <w:div w:id="1759793383">
          <w:marLeft w:val="547"/>
          <w:marRight w:val="0"/>
          <w:marTop w:val="106"/>
          <w:marBottom w:val="0"/>
          <w:divBdr>
            <w:top w:val="none" w:sz="0" w:space="0" w:color="auto"/>
            <w:left w:val="none" w:sz="0" w:space="0" w:color="auto"/>
            <w:bottom w:val="none" w:sz="0" w:space="0" w:color="auto"/>
            <w:right w:val="none" w:sz="0" w:space="0" w:color="auto"/>
          </w:divBdr>
        </w:div>
        <w:div w:id="1574317137">
          <w:marLeft w:val="547"/>
          <w:marRight w:val="0"/>
          <w:marTop w:val="106"/>
          <w:marBottom w:val="0"/>
          <w:divBdr>
            <w:top w:val="none" w:sz="0" w:space="0" w:color="auto"/>
            <w:left w:val="none" w:sz="0" w:space="0" w:color="auto"/>
            <w:bottom w:val="none" w:sz="0" w:space="0" w:color="auto"/>
            <w:right w:val="none" w:sz="0" w:space="0" w:color="auto"/>
          </w:divBdr>
        </w:div>
        <w:div w:id="590352550">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F217F"/>
    <w:rsid w:val="0001103E"/>
    <w:rsid w:val="00080ED1"/>
    <w:rsid w:val="002F217F"/>
    <w:rsid w:val="00347B69"/>
    <w:rsid w:val="003F4271"/>
    <w:rsid w:val="0047423F"/>
    <w:rsid w:val="0064749E"/>
    <w:rsid w:val="008806B5"/>
    <w:rsid w:val="009D0B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owner</cp:lastModifiedBy>
  <cp:revision>2</cp:revision>
  <dcterms:created xsi:type="dcterms:W3CDTF">2020-09-15T20:54:00Z</dcterms:created>
  <dcterms:modified xsi:type="dcterms:W3CDTF">2020-09-15T20:54:00Z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