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5B248D" w14:paraId="145FE33B" w14:textId="77777777" w:rsidTr="00292BEF">
        <w:tc>
          <w:tcPr>
            <w:tcW w:w="9576" w:type="dxa"/>
          </w:tcPr>
          <w:p w14:paraId="4761F77A" w14:textId="77777777" w:rsidR="005B248D" w:rsidRPr="00CA07DB" w:rsidRDefault="005B248D" w:rsidP="005B248D">
            <w:pPr>
              <w:rPr>
                <w:b/>
              </w:rPr>
            </w:pPr>
            <w:r>
              <w:rPr>
                <w:b/>
              </w:rPr>
              <w:t>Name:</w:t>
            </w:r>
          </w:p>
        </w:tc>
      </w:tr>
      <w:tr w:rsidR="005B248D" w14:paraId="4E3EF835" w14:textId="77777777" w:rsidTr="00292BEF">
        <w:sdt>
          <w:sdtPr>
            <w:id w:val="1948428097"/>
            <w:placeholder>
              <w:docPart w:val="F2E26893BCD84EA9BFDF02597F4281E2"/>
            </w:placeholder>
          </w:sdtPr>
          <w:sdtEndPr/>
          <w:sdtContent>
            <w:tc>
              <w:tcPr>
                <w:tcW w:w="9576" w:type="dxa"/>
              </w:tcPr>
              <w:p w14:paraId="3D9D1517" w14:textId="1C9B9A53" w:rsidR="005B248D" w:rsidRDefault="009C2D91" w:rsidP="00875E38">
                <w:r>
                  <w:t>Hanna Anderson</w:t>
                </w:r>
              </w:p>
            </w:tc>
          </w:sdtContent>
        </w:sdt>
      </w:tr>
      <w:tr w:rsidR="005B248D" w14:paraId="7F17810E" w14:textId="77777777" w:rsidTr="00292BEF">
        <w:tc>
          <w:tcPr>
            <w:tcW w:w="9576" w:type="dxa"/>
          </w:tcPr>
          <w:p w14:paraId="60C4F5D3" w14:textId="77777777" w:rsidR="005B248D" w:rsidRPr="00CA07DB" w:rsidRDefault="005B248D" w:rsidP="009F7390">
            <w:pPr>
              <w:rPr>
                <w:b/>
              </w:rPr>
            </w:pPr>
            <w:r>
              <w:rPr>
                <w:b/>
              </w:rPr>
              <w:t>Group:</w:t>
            </w:r>
          </w:p>
        </w:tc>
      </w:tr>
      <w:tr w:rsidR="005B248D" w14:paraId="10BEBDD7" w14:textId="77777777" w:rsidTr="00292BEF">
        <w:sdt>
          <w:sdtPr>
            <w:id w:val="-1249565243"/>
            <w:lock w:val="sdtLocked"/>
            <w:placeholder>
              <w:docPart w:val="0C1F831231944884941B002104123B14"/>
            </w:placeholder>
          </w:sdtPr>
          <w:sdtEndPr/>
          <w:sdtContent>
            <w:tc>
              <w:tcPr>
                <w:tcW w:w="9576" w:type="dxa"/>
              </w:tcPr>
              <w:p w14:paraId="43BEFB62" w14:textId="4D203024" w:rsidR="005B248D" w:rsidRDefault="009C2D91" w:rsidP="009F7390">
                <w:r>
                  <w:t>9A-1</w:t>
                </w:r>
              </w:p>
            </w:tc>
          </w:sdtContent>
        </w:sdt>
      </w:tr>
      <w:tr w:rsidR="005B248D" w14:paraId="1EDB92BA" w14:textId="77777777" w:rsidTr="00292BEF">
        <w:tc>
          <w:tcPr>
            <w:tcW w:w="9576" w:type="dxa"/>
          </w:tcPr>
          <w:p w14:paraId="00858F6A" w14:textId="77777777" w:rsidR="005B248D" w:rsidRPr="00CA07DB" w:rsidRDefault="005B248D" w:rsidP="009F7390">
            <w:pPr>
              <w:rPr>
                <w:b/>
              </w:rPr>
            </w:pPr>
            <w:r>
              <w:rPr>
                <w:b/>
              </w:rPr>
              <w:t>Pathology Question:</w:t>
            </w:r>
          </w:p>
        </w:tc>
      </w:tr>
      <w:tr w:rsidR="005B248D" w14:paraId="441AF805" w14:textId="77777777" w:rsidTr="00292BEF">
        <w:sdt>
          <w:sdtPr>
            <w:id w:val="-343781582"/>
            <w:placeholder>
              <w:docPart w:val="C2A396B847314DF0ADF6C271A1B398D3"/>
            </w:placeholder>
          </w:sdtPr>
          <w:sdtEndPr/>
          <w:sdtContent>
            <w:tc>
              <w:tcPr>
                <w:tcW w:w="9576" w:type="dxa"/>
              </w:tcPr>
              <w:p w14:paraId="6898AC68" w14:textId="680B2F6C" w:rsidR="005B248D" w:rsidRDefault="009C2D91" w:rsidP="00292BEF">
                <w:r>
                  <w:rPr>
                    <w:rFonts w:ascii="Arial" w:hAnsi="Arial" w:cs="Arial"/>
                    <w:color w:val="544C49"/>
                    <w:sz w:val="21"/>
                    <w:szCs w:val="21"/>
                    <w:shd w:val="clear" w:color="auto" w:fill="FFFFFF"/>
                  </w:rPr>
                  <w:t>What pathology is associated with immediate placed implants?</w:t>
                </w:r>
              </w:p>
            </w:tc>
          </w:sdtContent>
        </w:sdt>
      </w:tr>
      <w:tr w:rsidR="005B248D" w14:paraId="6013D48D" w14:textId="77777777" w:rsidTr="00292BEF">
        <w:tc>
          <w:tcPr>
            <w:tcW w:w="9576" w:type="dxa"/>
          </w:tcPr>
          <w:p w14:paraId="59A9BF11" w14:textId="77777777" w:rsidR="005B248D" w:rsidRPr="00CA07DB" w:rsidRDefault="005B248D" w:rsidP="00292BEF">
            <w:pPr>
              <w:rPr>
                <w:b/>
              </w:rPr>
            </w:pPr>
            <w:r>
              <w:rPr>
                <w:b/>
              </w:rPr>
              <w:t>Report:</w:t>
            </w:r>
          </w:p>
        </w:tc>
      </w:tr>
      <w:tr w:rsidR="005B248D" w14:paraId="451D082D" w14:textId="77777777" w:rsidTr="00292BEF">
        <w:sdt>
          <w:sdtPr>
            <w:id w:val="1692803440"/>
            <w:placeholder>
              <w:docPart w:val="9336E9D6F9224F80AC2C705B2AEB9EB2"/>
            </w:placeholder>
          </w:sdtPr>
          <w:sdtEndPr/>
          <w:sdtContent>
            <w:tc>
              <w:tcPr>
                <w:tcW w:w="9576" w:type="dxa"/>
              </w:tcPr>
              <w:p w14:paraId="61370C3C" w14:textId="77777777" w:rsidR="00B34602" w:rsidRPr="00EF2F67" w:rsidRDefault="00B34602" w:rsidP="00B34602">
                <w:pPr>
                  <w:ind w:firstLine="720"/>
                  <w:rPr>
                    <w:color w:val="544C49"/>
                    <w:szCs w:val="24"/>
                    <w:shd w:val="clear" w:color="auto" w:fill="FFFFFF"/>
                  </w:rPr>
                </w:pPr>
                <w:r w:rsidRPr="00EF2F67">
                  <w:rPr>
                    <w:color w:val="544C49"/>
                    <w:szCs w:val="24"/>
                    <w:shd w:val="clear" w:color="auto" w:fill="FFFFFF"/>
                  </w:rPr>
                  <w:t>Dental implants have been an invaluable tool in restoring form, function, and esthetics in patients for many years. A regretful aspect of dental implants, however, is their time commitment. Traditionally, after teeth were extracted, 3-6 months were allowed for the site to regrow bone tissue, and then after those months, the implant could be placed. This continues to be good practice, but another option is immediate placement of implants. This allows good esthetics because the patient never goes without a tooth, and it also decreases the loss of bone height, width, and surrounding soft tissue (Mello</w:t>
                </w:r>
                <w:r>
                  <w:rPr>
                    <w:color w:val="544C49"/>
                    <w:szCs w:val="24"/>
                    <w:shd w:val="clear" w:color="auto" w:fill="FFFFFF"/>
                  </w:rPr>
                  <w:t xml:space="preserve"> et al. 2017</w:t>
                </w:r>
                <w:r w:rsidRPr="00EF2F67">
                  <w:rPr>
                    <w:color w:val="544C49"/>
                    <w:szCs w:val="24"/>
                    <w:shd w:val="clear" w:color="auto" w:fill="FFFFFF"/>
                  </w:rPr>
                  <w:t xml:space="preserve">). While this is favorable, the immediate implant’s survival rate, the presence of pathology in the socket, and systemic factors could determine if an immediate implant is the best treatment for a patient. </w:t>
                </w:r>
              </w:p>
              <w:p w14:paraId="17DD3703" w14:textId="77777777" w:rsidR="00B34602" w:rsidRPr="00EF2F67" w:rsidRDefault="00B34602" w:rsidP="00B34602">
                <w:pPr>
                  <w:ind w:firstLine="720"/>
                  <w:rPr>
                    <w:color w:val="544C49"/>
                    <w:szCs w:val="24"/>
                    <w:shd w:val="clear" w:color="auto" w:fill="FFFFFF"/>
                  </w:rPr>
                </w:pPr>
                <w:r w:rsidRPr="00EF2F67">
                  <w:rPr>
                    <w:color w:val="544C49"/>
                    <w:szCs w:val="24"/>
                    <w:shd w:val="clear" w:color="auto" w:fill="FFFFFF"/>
                  </w:rPr>
                  <w:t>First, it is valuable to consider the survival of implants placed immediately</w:t>
                </w:r>
                <w:r>
                  <w:rPr>
                    <w:color w:val="544C49"/>
                    <w:szCs w:val="24"/>
                    <w:shd w:val="clear" w:color="auto" w:fill="FFFFFF"/>
                  </w:rPr>
                  <w:t xml:space="preserve"> versus</w:t>
                </w:r>
                <w:r w:rsidRPr="00EF2F67">
                  <w:rPr>
                    <w:color w:val="544C49"/>
                    <w:szCs w:val="24"/>
                    <w:shd w:val="clear" w:color="auto" w:fill="FFFFFF"/>
                  </w:rPr>
                  <w:t xml:space="preserve"> those placed after healing. According to one study, after considering over 3,000 implants, it was found that the implants placed after the socket healed survived significantly better than the immediate implants. Although this statistically is different, the survival rate of the implants after healing was 98.38% while the immediate implant survival was 95.21%. So, both success rates were very positive, just significantly different according to the analysis criteria. While there was discrepancy in success between the two implant types, they also found that loss of soft tissue health and marginal bone loss were not significant between the two, which is favorable for long term periodontal health (Mello</w:t>
                </w:r>
                <w:r>
                  <w:rPr>
                    <w:color w:val="544C49"/>
                    <w:szCs w:val="24"/>
                    <w:shd w:val="clear" w:color="auto" w:fill="FFFFFF"/>
                  </w:rPr>
                  <w:t xml:space="preserve"> et al. 2017</w:t>
                </w:r>
                <w:r w:rsidRPr="00EF2F67">
                  <w:rPr>
                    <w:color w:val="544C49"/>
                    <w:szCs w:val="24"/>
                    <w:shd w:val="clear" w:color="auto" w:fill="FFFFFF"/>
                  </w:rPr>
                  <w:t>).</w:t>
                </w:r>
              </w:p>
              <w:p w14:paraId="1C942012" w14:textId="77777777" w:rsidR="00B34602" w:rsidRPr="00EF2F67" w:rsidRDefault="00B34602" w:rsidP="00B34602">
                <w:pPr>
                  <w:rPr>
                    <w:color w:val="544C49"/>
                    <w:szCs w:val="24"/>
                    <w:shd w:val="clear" w:color="auto" w:fill="FFFFFF"/>
                  </w:rPr>
                </w:pPr>
                <w:r w:rsidRPr="00EF2F67">
                  <w:rPr>
                    <w:color w:val="544C49"/>
                    <w:szCs w:val="24"/>
                    <w:shd w:val="clear" w:color="auto" w:fill="FFFFFF"/>
                  </w:rPr>
                  <w:tab/>
                  <w:t>A consideration for placing an immediate implant is the health of the natural tooth socket. There are many conflicting ideas surrounding</w:t>
                </w:r>
                <w:r>
                  <w:rPr>
                    <w:color w:val="544C49"/>
                    <w:szCs w:val="24"/>
                    <w:shd w:val="clear" w:color="auto" w:fill="FFFFFF"/>
                  </w:rPr>
                  <w:t xml:space="preserve"> the</w:t>
                </w:r>
                <w:r w:rsidRPr="00EF2F67">
                  <w:rPr>
                    <w:color w:val="544C49"/>
                    <w:szCs w:val="24"/>
                    <w:shd w:val="clear" w:color="auto" w:fill="FFFFFF"/>
                  </w:rPr>
                  <w:t xml:space="preserve"> safety and efficacy in placing implants in infected sites compared to healthy sites. One meta-analysis found that </w:t>
                </w:r>
                <w:r>
                  <w:rPr>
                    <w:color w:val="544C49"/>
                    <w:szCs w:val="24"/>
                    <w:shd w:val="clear" w:color="auto" w:fill="FFFFFF"/>
                  </w:rPr>
                  <w:t>implants placed in infected s</w:t>
                </w:r>
                <w:r w:rsidRPr="00EF2F67">
                  <w:rPr>
                    <w:color w:val="544C49"/>
                    <w:szCs w:val="24"/>
                    <w:shd w:val="clear" w:color="auto" w:fill="FFFFFF"/>
                  </w:rPr>
                  <w:t>ocket</w:t>
                </w:r>
                <w:r>
                  <w:rPr>
                    <w:color w:val="544C49"/>
                    <w:szCs w:val="24"/>
                    <w:shd w:val="clear" w:color="auto" w:fill="FFFFFF"/>
                  </w:rPr>
                  <w:t>s would not fail any more significantly than those placed in healthy sockets. The data bordered statistical significance however, (</w:t>
                </w:r>
                <w:r w:rsidRPr="00EF2F67">
                  <w:rPr>
                    <w:color w:val="544C49"/>
                    <w:szCs w:val="24"/>
                    <w:shd w:val="clear" w:color="auto" w:fill="FFFFFF"/>
                  </w:rPr>
                  <w:t>P = 0.058)</w:t>
                </w:r>
                <w:r>
                  <w:rPr>
                    <w:color w:val="544C49"/>
                    <w:szCs w:val="24"/>
                    <w:shd w:val="clear" w:color="auto" w:fill="FFFFFF"/>
                  </w:rPr>
                  <w:t xml:space="preserve"> so more research needs to be done, considering the p value almost suggests the implants placed in infected sites significantly failed more often than those placed in healthy sites. </w:t>
                </w:r>
                <w:r w:rsidRPr="00EF2F67">
                  <w:rPr>
                    <w:color w:val="544C49"/>
                    <w:szCs w:val="24"/>
                    <w:shd w:val="clear" w:color="auto" w:fill="FFFFFF"/>
                  </w:rPr>
                  <w:t>The</w:t>
                </w:r>
                <w:r>
                  <w:rPr>
                    <w:color w:val="544C49"/>
                    <w:szCs w:val="24"/>
                    <w:shd w:val="clear" w:color="auto" w:fill="FFFFFF"/>
                  </w:rPr>
                  <w:t xml:space="preserve"> infections considered</w:t>
                </w:r>
                <w:r w:rsidRPr="00EF2F67">
                  <w:rPr>
                    <w:color w:val="544C49"/>
                    <w:szCs w:val="24"/>
                    <w:shd w:val="clear" w:color="auto" w:fill="FFFFFF"/>
                  </w:rPr>
                  <w:t xml:space="preserve"> include</w:t>
                </w:r>
                <w:r>
                  <w:rPr>
                    <w:color w:val="544C49"/>
                    <w:szCs w:val="24"/>
                    <w:shd w:val="clear" w:color="auto" w:fill="FFFFFF"/>
                  </w:rPr>
                  <w:t>d</w:t>
                </w:r>
                <w:r w:rsidRPr="00EF2F67">
                  <w:rPr>
                    <w:color w:val="544C49"/>
                    <w:szCs w:val="24"/>
                    <w:shd w:val="clear" w:color="auto" w:fill="FFFFFF"/>
                  </w:rPr>
                  <w:t xml:space="preserve"> endodontic </w:t>
                </w:r>
                <w:r>
                  <w:rPr>
                    <w:color w:val="544C49"/>
                    <w:szCs w:val="24"/>
                    <w:shd w:val="clear" w:color="auto" w:fill="FFFFFF"/>
                  </w:rPr>
                  <w:t>and</w:t>
                </w:r>
                <w:r w:rsidRPr="00EF2F67">
                  <w:rPr>
                    <w:color w:val="544C49"/>
                    <w:szCs w:val="24"/>
                    <w:shd w:val="clear" w:color="auto" w:fill="FFFFFF"/>
                  </w:rPr>
                  <w:t xml:space="preserve"> periodontal infections, </w:t>
                </w:r>
                <w:r>
                  <w:rPr>
                    <w:color w:val="544C49"/>
                    <w:szCs w:val="24"/>
                    <w:shd w:val="clear" w:color="auto" w:fill="FFFFFF"/>
                  </w:rPr>
                  <w:t>which</w:t>
                </w:r>
                <w:r w:rsidRPr="00EF2F67">
                  <w:rPr>
                    <w:color w:val="544C49"/>
                    <w:szCs w:val="24"/>
                    <w:shd w:val="clear" w:color="auto" w:fill="FFFFFF"/>
                  </w:rPr>
                  <w:t xml:space="preserve"> led to failed osseointegration. Contrary to that, however, if the implant into the infected site d</w:t>
                </w:r>
                <w:r>
                  <w:rPr>
                    <w:color w:val="544C49"/>
                    <w:szCs w:val="24"/>
                    <w:shd w:val="clear" w:color="auto" w:fill="FFFFFF"/>
                  </w:rPr>
                  <w:t>id</w:t>
                </w:r>
                <w:r w:rsidRPr="00EF2F67">
                  <w:rPr>
                    <w:color w:val="544C49"/>
                    <w:szCs w:val="24"/>
                    <w:shd w:val="clear" w:color="auto" w:fill="FFFFFF"/>
                  </w:rPr>
                  <w:t xml:space="preserve"> not fail, there </w:t>
                </w:r>
                <w:r>
                  <w:rPr>
                    <w:color w:val="544C49"/>
                    <w:szCs w:val="24"/>
                    <w:shd w:val="clear" w:color="auto" w:fill="FFFFFF"/>
                  </w:rPr>
                  <w:t>was</w:t>
                </w:r>
                <w:r w:rsidRPr="00EF2F67">
                  <w:rPr>
                    <w:color w:val="544C49"/>
                    <w:szCs w:val="24"/>
                    <w:shd w:val="clear" w:color="auto" w:fill="FFFFFF"/>
                  </w:rPr>
                  <w:t xml:space="preserve"> good chance the marginal bone loss </w:t>
                </w:r>
                <w:r>
                  <w:rPr>
                    <w:color w:val="544C49"/>
                    <w:szCs w:val="24"/>
                    <w:shd w:val="clear" w:color="auto" w:fill="FFFFFF"/>
                  </w:rPr>
                  <w:t xml:space="preserve">over time </w:t>
                </w:r>
                <w:r w:rsidRPr="00EF2F67">
                  <w:rPr>
                    <w:color w:val="544C49"/>
                    <w:szCs w:val="24"/>
                    <w:shd w:val="clear" w:color="auto" w:fill="FFFFFF"/>
                  </w:rPr>
                  <w:t>w</w:t>
                </w:r>
                <w:r>
                  <w:rPr>
                    <w:color w:val="544C49"/>
                    <w:szCs w:val="24"/>
                    <w:shd w:val="clear" w:color="auto" w:fill="FFFFFF"/>
                  </w:rPr>
                  <w:t xml:space="preserve">ould </w:t>
                </w:r>
                <w:r w:rsidRPr="00EF2F67">
                  <w:rPr>
                    <w:color w:val="544C49"/>
                    <w:szCs w:val="24"/>
                    <w:shd w:val="clear" w:color="auto" w:fill="FFFFFF"/>
                  </w:rPr>
                  <w:t>be no different than if the implant was placed into a healthy socket (Zhao</w:t>
                </w:r>
                <w:r>
                  <w:rPr>
                    <w:color w:val="544C49"/>
                    <w:szCs w:val="24"/>
                    <w:shd w:val="clear" w:color="auto" w:fill="FFFFFF"/>
                  </w:rPr>
                  <w:t xml:space="preserve"> et al. 2015</w:t>
                </w:r>
                <w:r w:rsidRPr="00EF2F67">
                  <w:rPr>
                    <w:color w:val="544C49"/>
                    <w:szCs w:val="24"/>
                    <w:shd w:val="clear" w:color="auto" w:fill="FFFFFF"/>
                  </w:rPr>
                  <w:t>).</w:t>
                </w:r>
              </w:p>
              <w:p w14:paraId="799F0BEE" w14:textId="77777777" w:rsidR="00B34602" w:rsidRPr="00EF2F67" w:rsidRDefault="00B34602" w:rsidP="00B34602">
                <w:pPr>
                  <w:rPr>
                    <w:color w:val="544C49"/>
                    <w:szCs w:val="24"/>
                    <w:shd w:val="clear" w:color="auto" w:fill="FFFFFF"/>
                  </w:rPr>
                </w:pPr>
                <w:r w:rsidRPr="00EF2F67">
                  <w:rPr>
                    <w:color w:val="544C49"/>
                    <w:szCs w:val="24"/>
                    <w:shd w:val="clear" w:color="auto" w:fill="FFFFFF"/>
                  </w:rPr>
                  <w:tab/>
                  <w:t>A final consideration in placing an implant (immediate or delayed) would be any pathologies associated with the patient as a whole. A contraindication to implant placement would be in patients taking oral bisphosphonates due to being diagnosed with osteoporosis or receiving other kinds of therapy involving this</w:t>
                </w:r>
                <w:r>
                  <w:rPr>
                    <w:color w:val="544C49"/>
                    <w:szCs w:val="24"/>
                    <w:shd w:val="clear" w:color="auto" w:fill="FFFFFF"/>
                  </w:rPr>
                  <w:t xml:space="preserve"> drug</w:t>
                </w:r>
                <w:r w:rsidRPr="00EF2F67">
                  <w:rPr>
                    <w:color w:val="544C49"/>
                    <w:szCs w:val="24"/>
                    <w:shd w:val="clear" w:color="auto" w:fill="FFFFFF"/>
                  </w:rPr>
                  <w:t xml:space="preserve"> (Gomez-de Diego). Additionally, there is a general consensus there are increased risks of complications such as peri-implantitis when the patient is a smoker or has diabetes (Turri</w:t>
                </w:r>
                <w:r>
                  <w:rPr>
                    <w:color w:val="544C49"/>
                    <w:szCs w:val="24"/>
                    <w:shd w:val="clear" w:color="auto" w:fill="FFFFFF"/>
                  </w:rPr>
                  <w:t xml:space="preserve"> et al. 2016</w:t>
                </w:r>
                <w:r w:rsidRPr="00EF2F67">
                  <w:rPr>
                    <w:color w:val="544C49"/>
                    <w:szCs w:val="24"/>
                    <w:shd w:val="clear" w:color="auto" w:fill="FFFFFF"/>
                  </w:rPr>
                  <w:t>).</w:t>
                </w:r>
              </w:p>
              <w:p w14:paraId="73CE1C35" w14:textId="14E548D2" w:rsidR="005B248D" w:rsidRPr="00F4257C" w:rsidRDefault="00B34602" w:rsidP="00B34602">
                <w:pPr>
                  <w:rPr>
                    <w:color w:val="544C49"/>
                    <w:szCs w:val="24"/>
                    <w:shd w:val="clear" w:color="auto" w:fill="FFFFFF"/>
                  </w:rPr>
                </w:pPr>
                <w:r w:rsidRPr="00EF2F67">
                  <w:rPr>
                    <w:color w:val="544C49"/>
                    <w:szCs w:val="24"/>
                    <w:shd w:val="clear" w:color="auto" w:fill="FFFFFF"/>
                  </w:rPr>
                  <w:tab/>
                  <w:t xml:space="preserve">Implants are a valuable part of dentistry today and research will continue to explore their possibilities. Knowledge of immediate implant survival rate, ability to be placed into an </w:t>
                </w:r>
                <w:r w:rsidRPr="00EF2F67">
                  <w:rPr>
                    <w:color w:val="544C49"/>
                    <w:szCs w:val="24"/>
                    <w:shd w:val="clear" w:color="auto" w:fill="FFFFFF"/>
                  </w:rPr>
                  <w:lastRenderedPageBreak/>
                  <w:t>infected socket, and the association with patient’s systemic pathologies have already led to better treatment planning and will continue to improve patient care with more research and clinical experience.</w:t>
                </w:r>
              </w:p>
            </w:tc>
          </w:sdtContent>
        </w:sdt>
      </w:tr>
      <w:tr w:rsidR="005B248D" w14:paraId="05A075AA" w14:textId="77777777" w:rsidTr="00292BEF">
        <w:tc>
          <w:tcPr>
            <w:tcW w:w="9576" w:type="dxa"/>
          </w:tcPr>
          <w:p w14:paraId="05CF87FC" w14:textId="77777777" w:rsidR="005B248D" w:rsidRPr="00CA07DB" w:rsidRDefault="005B248D" w:rsidP="00187B59">
            <w:pPr>
              <w:rPr>
                <w:b/>
              </w:rPr>
            </w:pPr>
            <w:r>
              <w:rPr>
                <w:b/>
              </w:rPr>
              <w:lastRenderedPageBreak/>
              <w:t>References:</w:t>
            </w:r>
          </w:p>
        </w:tc>
      </w:tr>
      <w:tr w:rsidR="005B248D" w14:paraId="4DF0D1A0" w14:textId="77777777" w:rsidTr="00292BEF">
        <w:sdt>
          <w:sdtPr>
            <w:id w:val="-185608296"/>
            <w:placeholder>
              <w:docPart w:val="01EE0CA9C12F4469953EF8B58FF95299"/>
            </w:placeholder>
          </w:sdtPr>
          <w:sdtEndPr/>
          <w:sdtContent>
            <w:tc>
              <w:tcPr>
                <w:tcW w:w="9576" w:type="dxa"/>
              </w:tcPr>
              <w:p w14:paraId="0C64F337" w14:textId="10134144" w:rsidR="00F4257C" w:rsidRPr="007C3E49" w:rsidRDefault="00F4257C" w:rsidP="00F4257C">
                <w:pPr>
                  <w:rPr>
                    <w:szCs w:val="24"/>
                  </w:rPr>
                </w:pPr>
                <w:r w:rsidRPr="007C3E49">
                  <w:rPr>
                    <w:szCs w:val="24"/>
                  </w:rPr>
                  <w:t xml:space="preserve">Gómez-de Diego, R., Mang-de la Rosa, M. del R., Romero-Pérez, M. J., Cutando-Soriano, A., &amp; López-Valverde-Centeno, A. (2014). Indications and </w:t>
                </w:r>
                <w:hyperlink r:id="rId10" w:history="1">
                  <w:r w:rsidRPr="00EF2F67">
                    <w:rPr>
                      <w:rStyle w:val="Hyperlink"/>
                      <w:szCs w:val="24"/>
                    </w:rPr>
                    <w:t>https://doi.org/10.11607/jomi.4149</w:t>
                  </w:r>
                </w:hyperlink>
                <w:r w:rsidRPr="00EF2F67">
                  <w:rPr>
                    <w:szCs w:val="24"/>
                  </w:rPr>
                  <w:t xml:space="preserve"> </w:t>
                </w:r>
                <w:r w:rsidRPr="007C3E49">
                  <w:rPr>
                    <w:szCs w:val="24"/>
                  </w:rPr>
                  <w:t xml:space="preserve"> of dental implants in medically compromised patients: Update. </w:t>
                </w:r>
                <w:r w:rsidRPr="007C3E49">
                  <w:rPr>
                    <w:i/>
                    <w:iCs/>
                    <w:szCs w:val="24"/>
                  </w:rPr>
                  <w:t>Medicina Oral, Patología Oral y Cirugía Bucal</w:t>
                </w:r>
                <w:r w:rsidRPr="007C3E49">
                  <w:rPr>
                    <w:szCs w:val="24"/>
                  </w:rPr>
                  <w:t xml:space="preserve">, </w:t>
                </w:r>
                <w:r w:rsidRPr="007C3E49">
                  <w:rPr>
                    <w:i/>
                    <w:iCs/>
                    <w:szCs w:val="24"/>
                  </w:rPr>
                  <w:t>19</w:t>
                </w:r>
                <w:r w:rsidRPr="007C3E49">
                  <w:rPr>
                    <w:szCs w:val="24"/>
                  </w:rPr>
                  <w:t xml:space="preserve">(5), e483–e489. </w:t>
                </w:r>
                <w:hyperlink r:id="rId11" w:history="1">
                  <w:r w:rsidRPr="007C3E49">
                    <w:rPr>
                      <w:color w:val="0000FF"/>
                      <w:szCs w:val="24"/>
                      <w:u w:val="single"/>
                    </w:rPr>
                    <w:t>https://doi.org/10.4317/medoral.19565</w:t>
                  </w:r>
                </w:hyperlink>
              </w:p>
              <w:p w14:paraId="29C36AF9" w14:textId="48EB907F" w:rsidR="00F4257C" w:rsidRPr="00F4257C" w:rsidRDefault="00F4257C" w:rsidP="00F4257C">
                <w:pPr>
                  <w:rPr>
                    <w:szCs w:val="24"/>
                    <w:shd w:val="clear" w:color="auto" w:fill="FFFFFF"/>
                  </w:rPr>
                </w:pPr>
                <w:r w:rsidRPr="00EF2F67">
                  <w:rPr>
                    <w:szCs w:val="24"/>
                  </w:rPr>
                  <w:t xml:space="preserve">Zhao, D., Wu, Y., Xu, C., &amp; Zhang, F. (2015). </w:t>
                </w:r>
                <w:r w:rsidRPr="007C3E49">
                  <w:rPr>
                    <w:szCs w:val="24"/>
                  </w:rPr>
                  <w:t>Immediate dental implant placement into infected vs. Non‐infected sockets: A meta‐analysis</w:t>
                </w:r>
                <w:r w:rsidRPr="00EF2F67">
                  <w:rPr>
                    <w:szCs w:val="24"/>
                  </w:rPr>
                  <w:t xml:space="preserve">. </w:t>
                </w:r>
                <w:r w:rsidRPr="007C3E49">
                  <w:rPr>
                    <w:i/>
                    <w:iCs/>
                    <w:szCs w:val="24"/>
                  </w:rPr>
                  <w:t>Clinical Oral Implants Research</w:t>
                </w:r>
                <w:r w:rsidRPr="00EF2F67">
                  <w:rPr>
                    <w:i/>
                    <w:iCs/>
                    <w:szCs w:val="24"/>
                  </w:rPr>
                  <w:t xml:space="preserve">, 27(10). </w:t>
                </w:r>
                <w:hyperlink r:id="rId12" w:history="1">
                  <w:r w:rsidRPr="00EF2F67">
                    <w:rPr>
                      <w:rStyle w:val="Hyperlink"/>
                      <w:szCs w:val="24"/>
                      <w:shd w:val="clear" w:color="auto" w:fill="FFFFFF"/>
                    </w:rPr>
                    <w:t>https://0-doi-org.libus.csd.mu.edu/10.1111/clr.12739</w:t>
                  </w:r>
                </w:hyperlink>
              </w:p>
              <w:p w14:paraId="09BFB76C" w14:textId="77777777" w:rsidR="00F4257C" w:rsidRPr="00EF2F67" w:rsidRDefault="00F4257C" w:rsidP="00F4257C">
                <w:pPr>
                  <w:rPr>
                    <w:szCs w:val="24"/>
                  </w:rPr>
                </w:pPr>
                <w:r w:rsidRPr="00EF2F67">
                  <w:rPr>
                    <w:szCs w:val="24"/>
                  </w:rPr>
                  <w:t xml:space="preserve">Mello, C., Lemos, C. Verri, F., Dos Santos, D., Goiato, M., &amp; Pellizzer, E. (2017). </w:t>
                </w:r>
                <w:r w:rsidRPr="007C3E49">
                  <w:rPr>
                    <w:szCs w:val="24"/>
                  </w:rPr>
                  <w:t>Immediate implant placement into fresh extraction sockets versus delayed implants into healed sockets: A systematic review and meta-analysis</w:t>
                </w:r>
                <w:r w:rsidRPr="00EF2F67">
                  <w:rPr>
                    <w:i/>
                    <w:iCs/>
                    <w:szCs w:val="24"/>
                  </w:rPr>
                  <w:t>. Int J Oral Maxillofac Surg, 46(9),1162-1177.</w:t>
                </w:r>
                <w:r w:rsidRPr="00EF2F67">
                  <w:rPr>
                    <w:szCs w:val="24"/>
                  </w:rPr>
                  <w:t xml:space="preserve"> </w:t>
                </w:r>
                <w:hyperlink r:id="rId13" w:history="1">
                  <w:r w:rsidRPr="00EF2F67">
                    <w:rPr>
                      <w:rStyle w:val="Hyperlink"/>
                      <w:szCs w:val="24"/>
                    </w:rPr>
                    <w:t>https://doi.org/10.1016/j.ijom.2017.03.016</w:t>
                  </w:r>
                </w:hyperlink>
              </w:p>
              <w:p w14:paraId="77CEA730" w14:textId="338EE8D0" w:rsidR="005B248D" w:rsidRPr="00F4257C" w:rsidRDefault="00F4257C" w:rsidP="00292BEF">
                <w:pPr>
                  <w:rPr>
                    <w:szCs w:val="24"/>
                  </w:rPr>
                </w:pPr>
                <w:r w:rsidRPr="00EF2F67">
                  <w:rPr>
                    <w:szCs w:val="24"/>
                  </w:rPr>
                  <w:t xml:space="preserve">Turri, A., Rossetti, P., Canullo, L., Grusovin, M., &amp; Dahlin, C. (2016). Prevalence of peri-implantitis in medically compromised patients and smokers: a systematic review. The International Journal of Oral &amp; Maxillofacial Implants, 31(1). </w:t>
                </w:r>
                <w:hyperlink r:id="rId14" w:history="1">
                  <w:r w:rsidRPr="00EF2F67">
                    <w:rPr>
                      <w:rStyle w:val="Hyperlink"/>
                      <w:szCs w:val="24"/>
                    </w:rPr>
                    <w:t>https://doi.org/10.11607/jomi.4149</w:t>
                  </w:r>
                </w:hyperlink>
                <w:r w:rsidRPr="00EF2F67">
                  <w:rPr>
                    <w:szCs w:val="24"/>
                  </w:rPr>
                  <w:t xml:space="preserve"> </w:t>
                </w:r>
              </w:p>
            </w:tc>
          </w:sdtContent>
        </w:sdt>
      </w:tr>
    </w:tbl>
    <w:p w14:paraId="2AA6C443" w14:textId="77777777" w:rsidR="00DF1FAB" w:rsidRPr="00292BEF" w:rsidRDefault="00DF1FAB" w:rsidP="00292BEF"/>
    <w:sectPr w:rsidR="00DF1FAB" w:rsidRPr="00292BEF" w:rsidSect="00C42AED">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61BB2" w14:textId="77777777" w:rsidR="00081D4D" w:rsidRDefault="00081D4D" w:rsidP="00292BEF">
      <w:r>
        <w:separator/>
      </w:r>
    </w:p>
  </w:endnote>
  <w:endnote w:type="continuationSeparator" w:id="0">
    <w:p w14:paraId="0010CC57" w14:textId="77777777" w:rsidR="00081D4D" w:rsidRDefault="00081D4D"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22C48" w14:textId="77777777" w:rsidR="00081D4D" w:rsidRDefault="00081D4D" w:rsidP="00292BEF">
      <w:r>
        <w:separator/>
      </w:r>
    </w:p>
  </w:footnote>
  <w:footnote w:type="continuationSeparator" w:id="0">
    <w:p w14:paraId="26BEC623" w14:textId="77777777" w:rsidR="00081D4D" w:rsidRDefault="00081D4D"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9FA9B" w14:textId="77777777" w:rsidR="00292BEF" w:rsidRPr="00292BEF" w:rsidRDefault="00292BEF" w:rsidP="00292BEF">
    <w:pPr>
      <w:pStyle w:val="Header"/>
      <w:jc w:val="right"/>
      <w:rPr>
        <w:sz w:val="28"/>
      </w:rPr>
    </w:pPr>
    <w:r w:rsidRPr="00292BEF">
      <w:rPr>
        <w:sz w:val="28"/>
      </w:rPr>
      <w:t>MUSoD Rounds</w:t>
    </w:r>
  </w:p>
  <w:p w14:paraId="11EFE028" w14:textId="77777777"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14:paraId="3A771BD3" w14:textId="77777777" w:rsidR="00292BEF" w:rsidRDefault="00292BEF" w:rsidP="00292BEF">
    <w:pPr>
      <w:pStyle w:val="Header"/>
      <w:jc w:val="right"/>
      <w:rPr>
        <w:sz w:val="28"/>
      </w:rPr>
    </w:pPr>
  </w:p>
  <w:p w14:paraId="06733776"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EF"/>
    <w:rsid w:val="00036D78"/>
    <w:rsid w:val="00081D4D"/>
    <w:rsid w:val="00187B59"/>
    <w:rsid w:val="001C1260"/>
    <w:rsid w:val="002223D1"/>
    <w:rsid w:val="00246C4B"/>
    <w:rsid w:val="00292BEF"/>
    <w:rsid w:val="00306D6B"/>
    <w:rsid w:val="004C6910"/>
    <w:rsid w:val="005B248D"/>
    <w:rsid w:val="007406C0"/>
    <w:rsid w:val="007B6610"/>
    <w:rsid w:val="009A073A"/>
    <w:rsid w:val="009C2D91"/>
    <w:rsid w:val="009F7390"/>
    <w:rsid w:val="00B34602"/>
    <w:rsid w:val="00B50056"/>
    <w:rsid w:val="00C42AED"/>
    <w:rsid w:val="00C90ED3"/>
    <w:rsid w:val="00CA07DB"/>
    <w:rsid w:val="00DF1FAB"/>
    <w:rsid w:val="00E05B1E"/>
    <w:rsid w:val="00F4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559A"/>
  <w15:docId w15:val="{AB1DE020-86D8-4946-9BE8-13AEB7DF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character" w:styleId="Hyperlink">
    <w:name w:val="Hyperlink"/>
    <w:basedOn w:val="DefaultParagraphFont"/>
    <w:uiPriority w:val="99"/>
    <w:unhideWhenUsed/>
    <w:locked/>
    <w:rsid w:val="00F42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16/j.ijom.2017.03.01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0-doi-org.libus.csd.mu.edu/10.1111/clr.12739"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4317/medoral.19565"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oi.org/10.11607/jomi.414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oi.org/10.11607/jomi.4149%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545EBB"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545EBB"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545EBB"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545EBB"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545EBB"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545EBB"/>
    <w:rsid w:val="007B6E11"/>
    <w:rsid w:val="008806B5"/>
    <w:rsid w:val="009612F6"/>
    <w:rsid w:val="00AE3434"/>
    <w:rsid w:val="00BB03C8"/>
    <w:rsid w:val="00D52F43"/>
    <w:rsid w:val="00DE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2FCE0ABA-F478-4CB9-9DC4-1D9F6350A9ED}">
  <ds:schemaRefs>
    <ds:schemaRef ds:uri="http://schemas.microsoft.com/sharepoint/v3/contenttype/forms"/>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hlanderson17@gmail.com</cp:lastModifiedBy>
  <cp:revision>5</cp:revision>
  <dcterms:created xsi:type="dcterms:W3CDTF">2020-09-15T03:10:00Z</dcterms:created>
  <dcterms:modified xsi:type="dcterms:W3CDTF">2020-09-16T15:01:00Z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