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F5" w:rsidRDefault="004112F5" w:rsidP="00692E4D">
      <w:pPr>
        <w:rPr>
          <w:b/>
        </w:rPr>
      </w:pPr>
      <w:bookmarkStart w:id="0" w:name="_GoBack"/>
      <w:bookmarkEnd w:id="0"/>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0D1AF2" w:rsidP="002972EE">
                <w:pPr>
                  <w:rPr>
                    <w:b/>
                  </w:rPr>
                </w:pPr>
                <w:r>
                  <w:rPr>
                    <w:b/>
                  </w:rPr>
                  <w:t>1B-1</w:t>
                </w:r>
              </w:p>
            </w:tc>
          </w:sdtContent>
        </w:sdt>
      </w:tr>
      <w:tr w:rsidR="00692E4D" w:rsidTr="002E6FF2">
        <w:tc>
          <w:tcPr>
            <w:tcW w:w="8640" w:type="dxa"/>
          </w:tcPr>
          <w:p w:rsidR="00692E4D" w:rsidRDefault="00692E4D" w:rsidP="00692E4D">
            <w:pPr>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0D1AF2" w:rsidP="00692E4D">
                <w:pPr>
                  <w:rPr>
                    <w:b/>
                  </w:rPr>
                </w:pPr>
                <w:proofErr w:type="spellStart"/>
                <w:r>
                  <w:rPr>
                    <w:b/>
                  </w:rPr>
                  <w:t>Fakhra</w:t>
                </w:r>
                <w:proofErr w:type="spellEnd"/>
                <w:r>
                  <w:rPr>
                    <w:b/>
                  </w:rPr>
                  <w:t xml:space="preserve"> Rashid, Jacob Postula, Marian </w:t>
                </w:r>
                <w:proofErr w:type="spellStart"/>
                <w:r>
                  <w:rPr>
                    <w:b/>
                  </w:rPr>
                  <w:t>Eskander</w:t>
                </w:r>
                <w:proofErr w:type="spellEnd"/>
                <w:r>
                  <w:rPr>
                    <w:b/>
                  </w:rPr>
                  <w:t xml:space="preserve">, Holly </w:t>
                </w:r>
                <w:proofErr w:type="spellStart"/>
                <w:r>
                  <w:rPr>
                    <w:b/>
                  </w:rPr>
                  <w:t>DuCharme</w:t>
                </w:r>
                <w:proofErr w:type="spellEnd"/>
              </w:p>
            </w:tc>
          </w:sdtContent>
        </w:sdt>
      </w:tr>
      <w:tr w:rsidR="00692E4D" w:rsidTr="002E6FF2">
        <w:tc>
          <w:tcPr>
            <w:tcW w:w="8640" w:type="dxa"/>
          </w:tcPr>
          <w:p w:rsidR="00692E4D" w:rsidRDefault="00692E4D" w:rsidP="00692E4D">
            <w:pPr>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90270A" w:rsidRDefault="0090270A" w:rsidP="0090270A">
                <w:r>
                  <w:rPr>
                    <w:rFonts w:ascii="Arial" w:hAnsi="Arial" w:cs="Arial"/>
                    <w:color w:val="544C49"/>
                    <w:sz w:val="21"/>
                    <w:szCs w:val="21"/>
                    <w:shd w:val="clear" w:color="auto" w:fill="FFFFFF"/>
                  </w:rPr>
                  <w:t xml:space="preserve">How dental anxiety can impact </w:t>
                </w:r>
                <w:proofErr w:type="gramStart"/>
                <w:r>
                  <w:rPr>
                    <w:rFonts w:ascii="Arial" w:hAnsi="Arial" w:cs="Arial"/>
                    <w:color w:val="544C49"/>
                    <w:sz w:val="21"/>
                    <w:szCs w:val="21"/>
                    <w:shd w:val="clear" w:color="auto" w:fill="FFFFFF"/>
                  </w:rPr>
                  <w:t>patients</w:t>
                </w:r>
                <w:proofErr w:type="gramEnd"/>
                <w:r>
                  <w:rPr>
                    <w:rFonts w:ascii="Arial" w:hAnsi="Arial" w:cs="Arial"/>
                    <w:color w:val="544C49"/>
                    <w:sz w:val="21"/>
                    <w:szCs w:val="21"/>
                    <w:shd w:val="clear" w:color="auto" w:fill="FFFFFF"/>
                  </w:rPr>
                  <w:t xml:space="preserve"> treatment options if not managed properly?</w:t>
                </w:r>
              </w:p>
              <w:p w:rsidR="00692E4D" w:rsidRDefault="00692E4D" w:rsidP="00692E4D">
                <w:pPr>
                  <w:rPr>
                    <w:b/>
                  </w:rPr>
                </w:pPr>
              </w:p>
            </w:tc>
          </w:sdtContent>
        </w:sdt>
      </w:tr>
      <w:tr w:rsidR="00692E4D" w:rsidTr="002E6FF2">
        <w:tc>
          <w:tcPr>
            <w:tcW w:w="8640" w:type="dxa"/>
          </w:tcPr>
          <w:p w:rsidR="00692E4D" w:rsidRDefault="00692E4D" w:rsidP="00692E4D">
            <w:pPr>
              <w:rPr>
                <w:b/>
              </w:rPr>
            </w:pPr>
            <w:r w:rsidRPr="00974240">
              <w:rPr>
                <w:b/>
              </w:rPr>
              <w:t>PICO Format:</w:t>
            </w:r>
          </w:p>
        </w:tc>
      </w:tr>
      <w:tr w:rsidR="00692E4D" w:rsidTr="002E6FF2">
        <w:tc>
          <w:tcPr>
            <w:tcW w:w="8640" w:type="dxa"/>
          </w:tcPr>
          <w:p w:rsidR="00692E4D" w:rsidRDefault="00692E4D" w:rsidP="00692E4D">
            <w:pPr>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90270A" w:rsidP="00692E4D">
                <w:pPr>
                  <w:rPr>
                    <w:b/>
                  </w:rPr>
                </w:pPr>
                <w:r>
                  <w:rPr>
                    <w:b/>
                  </w:rPr>
                  <w:t xml:space="preserve"> Anxious dental patient</w:t>
                </w:r>
              </w:p>
            </w:tc>
          </w:sdtContent>
        </w:sdt>
      </w:tr>
      <w:tr w:rsidR="00692E4D" w:rsidTr="002E6FF2">
        <w:tc>
          <w:tcPr>
            <w:tcW w:w="8640" w:type="dxa"/>
          </w:tcPr>
          <w:p w:rsidR="00692E4D" w:rsidRDefault="00692E4D" w:rsidP="00692E4D">
            <w:pPr>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90270A" w:rsidP="00692E4D">
                <w:pPr>
                  <w:rPr>
                    <w:b/>
                  </w:rPr>
                </w:pPr>
                <w:r>
                  <w:rPr>
                    <w:b/>
                  </w:rPr>
                  <w:t>Anxiolytic therapies in a dental setting</w:t>
                </w:r>
              </w:p>
            </w:tc>
          </w:sdtContent>
        </w:sdt>
      </w:tr>
      <w:tr w:rsidR="00692E4D" w:rsidTr="002E6FF2">
        <w:tc>
          <w:tcPr>
            <w:tcW w:w="8640" w:type="dxa"/>
          </w:tcPr>
          <w:p w:rsidR="00692E4D" w:rsidRDefault="00692E4D" w:rsidP="00692E4D">
            <w:pPr>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90270A" w:rsidP="00692E4D">
                <w:pPr>
                  <w:rPr>
                    <w:b/>
                  </w:rPr>
                </w:pPr>
                <w:r>
                  <w:rPr>
                    <w:b/>
                  </w:rPr>
                  <w:t>Non-anxious patient</w:t>
                </w:r>
              </w:p>
            </w:tc>
          </w:sdtContent>
        </w:sdt>
      </w:tr>
      <w:tr w:rsidR="00692E4D" w:rsidTr="002E6FF2">
        <w:tc>
          <w:tcPr>
            <w:tcW w:w="8640" w:type="dxa"/>
          </w:tcPr>
          <w:p w:rsidR="00692E4D" w:rsidRDefault="00692E4D" w:rsidP="00692E4D">
            <w:pPr>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90270A" w:rsidP="00692E4D">
                <w:pPr>
                  <w:rPr>
                    <w:b/>
                  </w:rPr>
                </w:pPr>
                <w:r>
                  <w:rPr>
                    <w:b/>
                  </w:rPr>
                  <w:t>Oral health status</w:t>
                </w:r>
              </w:p>
            </w:tc>
          </w:sdtContent>
        </w:sdt>
      </w:tr>
      <w:tr w:rsidR="00692E4D" w:rsidTr="002E6FF2">
        <w:tc>
          <w:tcPr>
            <w:tcW w:w="8640" w:type="dxa"/>
          </w:tcPr>
          <w:p w:rsidR="00692E4D" w:rsidRDefault="00692E4D" w:rsidP="00692E4D">
            <w:pPr>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Default="0090270A" w:rsidP="0090270A">
                <w:pPr>
                  <w:ind w:left="360"/>
                  <w:rPr>
                    <w:b/>
                  </w:rPr>
                </w:pPr>
                <w:r>
                  <w:t>In patients with severe dental anxiety, do anxiolytic therapies contribute to better oral health status compared to a non-a</w:t>
                </w:r>
                <w:r w:rsidR="00D55267">
                  <w:t>n</w:t>
                </w:r>
                <w:r>
                  <w:t>xious patient?</w:t>
                </w:r>
              </w:p>
            </w:tc>
          </w:sdtContent>
        </w:sdt>
      </w:tr>
      <w:tr w:rsidR="00692E4D" w:rsidTr="002E6FF2">
        <w:tc>
          <w:tcPr>
            <w:tcW w:w="8640" w:type="dxa"/>
          </w:tcPr>
          <w:p w:rsidR="00692E4D" w:rsidRDefault="00692E4D" w:rsidP="00692E4D">
            <w:pPr>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E00650" w:rsidP="00692E4D">
                <w:pPr>
                  <w:rPr>
                    <w:b/>
                  </w:rPr>
                </w:pPr>
                <w:r>
                  <w:rPr>
                    <w:b/>
                  </w:rPr>
                  <w:t>Anxiolytic therapies contribute to greater patient compliance and willingness to be treated across each discipline. There are scientific studies that show decrease in anxiety by the use of progressive muscle relaxation, acupressure, and nitrous oxide. These are all relatively cost effective yet have added procedure time. In patients with moderate to severe anxiety it is beneficial to put patients in more comfort, making the entire dental visit one that can theoretically occur more frequently and increase overall oral health status.</w:t>
                </w:r>
              </w:p>
            </w:tc>
          </w:sdtContent>
        </w:sdt>
      </w:tr>
      <w:tr w:rsidR="00692E4D" w:rsidTr="002E6FF2">
        <w:tc>
          <w:tcPr>
            <w:tcW w:w="8640" w:type="dxa"/>
          </w:tcPr>
          <w:p w:rsidR="00692E4D" w:rsidRDefault="00692E4D" w:rsidP="00692E4D">
            <w:pPr>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D55267" w:rsidP="00692E4D">
                <w:pPr>
                  <w:rPr>
                    <w:b/>
                  </w:rPr>
                </w:pPr>
                <w:r>
                  <w:rPr>
                    <w:b/>
                  </w:rPr>
                  <w:t>9/18/2020, 9/21/2020</w:t>
                </w:r>
              </w:p>
            </w:tc>
          </w:sdtContent>
        </w:sdt>
      </w:tr>
      <w:tr w:rsidR="00692E4D" w:rsidTr="002E6FF2">
        <w:tc>
          <w:tcPr>
            <w:tcW w:w="8640" w:type="dxa"/>
          </w:tcPr>
          <w:p w:rsidR="00692E4D" w:rsidRDefault="00692E4D" w:rsidP="00692E4D">
            <w:pPr>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B7291E" w:rsidP="00692E4D">
                <w:pPr>
                  <w:rPr>
                    <w:b/>
                  </w:rPr>
                </w:pPr>
                <w:r>
                  <w:rPr>
                    <w:b/>
                  </w:rPr>
                  <w:t>PubMed.gov</w:t>
                </w:r>
              </w:p>
            </w:tc>
          </w:sdtContent>
        </w:sdt>
      </w:tr>
      <w:tr w:rsidR="00692E4D" w:rsidTr="002E6FF2">
        <w:tc>
          <w:tcPr>
            <w:tcW w:w="8640" w:type="dxa"/>
          </w:tcPr>
          <w:p w:rsidR="00692E4D" w:rsidRPr="00974240" w:rsidRDefault="00692E4D" w:rsidP="00692E4D">
            <w:pPr>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E00650" w:rsidP="00692E4D">
                <w:pPr>
                  <w:rPr>
                    <w:b/>
                  </w:rPr>
                </w:pPr>
                <w:r>
                  <w:rPr>
                    <w:b/>
                  </w:rPr>
                  <w:t xml:space="preserve">Always keeping anxiety in the search terms to find articles that compare anxious to non-anxious patients. </w:t>
                </w:r>
              </w:p>
            </w:tc>
          </w:sdtContent>
        </w:sdt>
      </w:tr>
      <w:tr w:rsidR="00692E4D" w:rsidTr="002E6FF2">
        <w:tc>
          <w:tcPr>
            <w:tcW w:w="8640" w:type="dxa"/>
          </w:tcPr>
          <w:p w:rsidR="00692E4D" w:rsidRPr="00974240" w:rsidRDefault="00692E4D" w:rsidP="00692E4D">
            <w:pPr>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B7291E" w:rsidP="00692E4D">
                <w:pPr>
                  <w:rPr>
                    <w:b/>
                  </w:rPr>
                </w:pPr>
                <w:r>
                  <w:rPr>
                    <w:b/>
                  </w:rPr>
                  <w:t>Dental Anxiety, Oral Health</w:t>
                </w:r>
                <w:r w:rsidR="00E00650">
                  <w:rPr>
                    <w:b/>
                  </w:rPr>
                  <w:t>, Nitrous Oxide, Pediatric</w:t>
                </w:r>
              </w:p>
            </w:tc>
          </w:sdtContent>
        </w:sdt>
      </w:tr>
      <w:tr w:rsidR="00692E4D" w:rsidTr="002E6FF2">
        <w:tc>
          <w:tcPr>
            <w:tcW w:w="8640" w:type="dxa"/>
          </w:tcPr>
          <w:p w:rsidR="00692E4D" w:rsidRPr="00974240" w:rsidRDefault="00692E4D" w:rsidP="00692E4D">
            <w:pPr>
              <w:rPr>
                <w:b/>
              </w:rPr>
            </w:pPr>
            <w:r w:rsidRPr="00974240">
              <w:rPr>
                <w:b/>
              </w:rPr>
              <w:t>Article(s) Cited:</w:t>
            </w:r>
          </w:p>
        </w:tc>
      </w:tr>
      <w:tr w:rsidR="00692E4D" w:rsidTr="002E6FF2">
        <w:sdt>
          <w:sdtPr>
            <w:id w:val="-938752678"/>
            <w:placeholder>
              <w:docPart w:val="E8F2534F808F4ECBB4F5D259E7F4B4F2"/>
            </w:placeholder>
          </w:sdtPr>
          <w:sdtEndPr/>
          <w:sdtContent>
            <w:tc>
              <w:tcPr>
                <w:tcW w:w="8640" w:type="dxa"/>
              </w:tcPr>
              <w:p w:rsidR="00B7291E" w:rsidRPr="00440A7B" w:rsidRDefault="00B7291E" w:rsidP="00B7291E">
                <w:pPr>
                  <w:pStyle w:val="ListParagraph"/>
                  <w:numPr>
                    <w:ilvl w:val="0"/>
                    <w:numId w:val="13"/>
                  </w:numPr>
                </w:pPr>
                <w:r w:rsidRPr="00B7291E">
                  <w:rPr>
                    <w:rFonts w:ascii="Helvetica Neue" w:hAnsi="Helvetica Neue"/>
                    <w:color w:val="212121"/>
                    <w:shd w:val="clear" w:color="auto" w:fill="FFFFFF"/>
                  </w:rPr>
                  <w:t xml:space="preserve">Park ES, </w:t>
                </w:r>
                <w:proofErr w:type="spellStart"/>
                <w:r w:rsidRPr="00B7291E">
                  <w:rPr>
                    <w:rFonts w:ascii="Helvetica Neue" w:hAnsi="Helvetica Neue"/>
                    <w:color w:val="212121"/>
                    <w:shd w:val="clear" w:color="auto" w:fill="FFFFFF"/>
                  </w:rPr>
                  <w:t>Yim</w:t>
                </w:r>
                <w:proofErr w:type="spellEnd"/>
                <w:r w:rsidRPr="00B7291E">
                  <w:rPr>
                    <w:rFonts w:ascii="Helvetica Neue" w:hAnsi="Helvetica Neue"/>
                    <w:color w:val="212121"/>
                    <w:shd w:val="clear" w:color="auto" w:fill="FFFFFF"/>
                  </w:rPr>
                  <w:t xml:space="preserve"> HW, Lee KS. Progressive muscle relaxation therapy to relieve dental anxiety: a randomized controlled trial. </w:t>
                </w:r>
                <w:proofErr w:type="spellStart"/>
                <w:r w:rsidRPr="00B7291E">
                  <w:rPr>
                    <w:rFonts w:ascii="Helvetica Neue" w:hAnsi="Helvetica Neue"/>
                    <w:color w:val="212121"/>
                    <w:shd w:val="clear" w:color="auto" w:fill="FFFFFF"/>
                  </w:rPr>
                  <w:t>Eur</w:t>
                </w:r>
                <w:proofErr w:type="spellEnd"/>
                <w:r w:rsidRPr="00B7291E">
                  <w:rPr>
                    <w:rFonts w:ascii="Helvetica Neue" w:hAnsi="Helvetica Neue"/>
                    <w:color w:val="212121"/>
                    <w:shd w:val="clear" w:color="auto" w:fill="FFFFFF"/>
                  </w:rPr>
                  <w:t xml:space="preserve"> J Oral Sci. 2019 Feb;127(1):45-51. </w:t>
                </w:r>
                <w:proofErr w:type="spellStart"/>
                <w:r w:rsidRPr="00B7291E">
                  <w:rPr>
                    <w:rFonts w:ascii="Helvetica Neue" w:hAnsi="Helvetica Neue"/>
                    <w:color w:val="212121"/>
                    <w:shd w:val="clear" w:color="auto" w:fill="FFFFFF"/>
                  </w:rPr>
                  <w:t>doi</w:t>
                </w:r>
                <w:proofErr w:type="spellEnd"/>
                <w:r w:rsidRPr="00B7291E">
                  <w:rPr>
                    <w:rFonts w:ascii="Helvetica Neue" w:hAnsi="Helvetica Neue"/>
                    <w:color w:val="212121"/>
                    <w:shd w:val="clear" w:color="auto" w:fill="FFFFFF"/>
                  </w:rPr>
                  <w:t xml:space="preserve">: 10.1111/eos.12585. </w:t>
                </w:r>
                <w:proofErr w:type="spellStart"/>
                <w:r w:rsidRPr="00B7291E">
                  <w:rPr>
                    <w:rFonts w:ascii="Helvetica Neue" w:hAnsi="Helvetica Neue"/>
                    <w:color w:val="212121"/>
                    <w:shd w:val="clear" w:color="auto" w:fill="FFFFFF"/>
                  </w:rPr>
                  <w:t>Epub</w:t>
                </w:r>
                <w:proofErr w:type="spellEnd"/>
                <w:r w:rsidRPr="00B7291E">
                  <w:rPr>
                    <w:rFonts w:ascii="Helvetica Neue" w:hAnsi="Helvetica Neue"/>
                    <w:color w:val="212121"/>
                    <w:shd w:val="clear" w:color="auto" w:fill="FFFFFF"/>
                  </w:rPr>
                  <w:t xml:space="preserve"> 2018 Nov 14. PMID: 30430667.</w:t>
                </w:r>
              </w:p>
              <w:p w:rsidR="00440A7B" w:rsidRDefault="00440A7B" w:rsidP="00815AE7">
                <w:pPr>
                  <w:pStyle w:val="ListParagraph"/>
                  <w:numPr>
                    <w:ilvl w:val="0"/>
                    <w:numId w:val="13"/>
                  </w:numPr>
                </w:pPr>
                <w:r>
                  <w:lastRenderedPageBreak/>
                  <w:t>Effectiveness of Acupressure on Dental Anxiety in Children.</w:t>
                </w:r>
                <w:r w:rsidR="00815AE7">
                  <w:t xml:space="preserve"> </w:t>
                </w:r>
                <w:proofErr w:type="spellStart"/>
                <w:r w:rsidR="00815AE7">
                  <w:t>Avisa</w:t>
                </w:r>
                <w:proofErr w:type="spellEnd"/>
                <w:r w:rsidR="00815AE7">
                  <w:t>, Priyanka. Pediatric Dentistry Volume: 40 Issue 3 (2018) ISSN: 0164-1263. Online ISSN: 1942-5473</w:t>
                </w:r>
              </w:p>
              <w:p w:rsidR="00815AE7" w:rsidRPr="004B6EB7" w:rsidRDefault="004B6EB7" w:rsidP="004B6EB7">
                <w:pPr>
                  <w:pStyle w:val="ListParagraph"/>
                  <w:numPr>
                    <w:ilvl w:val="0"/>
                    <w:numId w:val="13"/>
                  </w:numPr>
                </w:pPr>
                <w:r>
                  <w:t xml:space="preserve">Preoperative dental anxiety and mood changes during nitrous oxide inhalation. ZACNY, JAMES. Journal of the American Dental </w:t>
                </w:r>
                <w:proofErr w:type="gramStart"/>
                <w:r>
                  <w:t>Association :</w:t>
                </w:r>
                <w:proofErr w:type="gramEnd"/>
                <w:r>
                  <w:t xml:space="preserve"> JADA Volume 133 Issue 1 (2002) ISSN: 0002-8177 Online ISSN: 1943-4723</w:t>
                </w:r>
              </w:p>
              <w:p w:rsidR="00692E4D" w:rsidRPr="00440A7B" w:rsidRDefault="00692E4D" w:rsidP="00815AE7">
                <w:pPr>
                  <w:pStyle w:val="ListParagraph"/>
                  <w:ind w:left="720"/>
                </w:pPr>
              </w:p>
            </w:tc>
          </w:sdtContent>
        </w:sdt>
      </w:tr>
      <w:tr w:rsidR="00692E4D" w:rsidTr="002E6FF2">
        <w:tc>
          <w:tcPr>
            <w:tcW w:w="8640" w:type="dxa"/>
          </w:tcPr>
          <w:p w:rsidR="00692E4D" w:rsidRPr="00974240" w:rsidRDefault="00692E4D" w:rsidP="00692E4D">
            <w:pPr>
              <w:rPr>
                <w:b/>
              </w:rPr>
            </w:pPr>
            <w:r w:rsidRPr="006A2AEF">
              <w:rPr>
                <w:b/>
              </w:rPr>
              <w:lastRenderedPageBreak/>
              <w:t>Study Design(s):</w:t>
            </w:r>
          </w:p>
        </w:tc>
      </w:tr>
      <w:tr w:rsidR="00692E4D" w:rsidTr="002E6FF2">
        <w:sdt>
          <w:sdtPr>
            <w:id w:val="196748513"/>
            <w:placeholder>
              <w:docPart w:val="205A1B0B443B417CA1D395AFAABA1971"/>
            </w:placeholder>
          </w:sdtPr>
          <w:sdtEndPr/>
          <w:sdtContent>
            <w:tc>
              <w:tcPr>
                <w:tcW w:w="8640" w:type="dxa"/>
              </w:tcPr>
              <w:p w:rsidR="004B6EB7" w:rsidRPr="004B6EB7" w:rsidRDefault="00B7291E" w:rsidP="004B6EB7">
                <w:pPr>
                  <w:pStyle w:val="ListParagraph"/>
                  <w:numPr>
                    <w:ilvl w:val="0"/>
                    <w:numId w:val="15"/>
                  </w:numPr>
                  <w:rPr>
                    <w:b/>
                  </w:rPr>
                </w:pPr>
                <w:r>
                  <w:t>Individual Randomly Controlled Trial</w:t>
                </w:r>
              </w:p>
              <w:p w:rsidR="004B6EB7" w:rsidRPr="004B6EB7" w:rsidRDefault="004B6EB7" w:rsidP="004B6EB7">
                <w:pPr>
                  <w:pStyle w:val="ListParagraph"/>
                  <w:numPr>
                    <w:ilvl w:val="0"/>
                    <w:numId w:val="15"/>
                  </w:numPr>
                  <w:rPr>
                    <w:b/>
                  </w:rPr>
                </w:pPr>
                <w:proofErr w:type="spellStart"/>
                <w:r>
                  <w:t>Indvidual</w:t>
                </w:r>
                <w:proofErr w:type="spellEnd"/>
                <w:r>
                  <w:t xml:space="preserve"> Randomly Controlled Trial</w:t>
                </w:r>
              </w:p>
              <w:p w:rsidR="00692E4D" w:rsidRPr="004B6EB7" w:rsidRDefault="004B6EB7" w:rsidP="004B6EB7">
                <w:pPr>
                  <w:pStyle w:val="ListParagraph"/>
                  <w:numPr>
                    <w:ilvl w:val="0"/>
                    <w:numId w:val="15"/>
                  </w:numPr>
                  <w:rPr>
                    <w:b/>
                  </w:rPr>
                </w:pPr>
                <w:r>
                  <w:t>Double Blind Peer Reviewed Study</w:t>
                </w:r>
              </w:p>
            </w:tc>
          </w:sdtContent>
        </w:sdt>
      </w:tr>
      <w:tr w:rsidR="00692E4D" w:rsidTr="002E6FF2">
        <w:tc>
          <w:tcPr>
            <w:tcW w:w="8640" w:type="dxa"/>
          </w:tcPr>
          <w:p w:rsidR="00692E4D" w:rsidRPr="006A2AEF" w:rsidRDefault="00692E4D" w:rsidP="002972EE">
            <w:pPr>
              <w:rPr>
                <w:b/>
              </w:rPr>
            </w:pPr>
            <w:r w:rsidRPr="00974240">
              <w:rPr>
                <w:b/>
              </w:rPr>
              <w:t>Reason for Article Selection:</w:t>
            </w:r>
          </w:p>
        </w:tc>
      </w:tr>
      <w:tr w:rsidR="00692E4D" w:rsidTr="002E6FF2">
        <w:sdt>
          <w:sdtPr>
            <w:rPr>
              <w:b/>
            </w:rPr>
            <w:id w:val="-1249580699"/>
            <w:placeholder>
              <w:docPart w:val="DDFEF09BC79B45F4875E7842D1533882"/>
            </w:placeholder>
          </w:sdtPr>
          <w:sdtEndPr/>
          <w:sdtContent>
            <w:tc>
              <w:tcPr>
                <w:tcW w:w="8640" w:type="dxa"/>
              </w:tcPr>
              <w:p w:rsidR="00692E4D" w:rsidRPr="006A2AEF" w:rsidRDefault="004B6EB7" w:rsidP="00692E4D">
                <w:pPr>
                  <w:rPr>
                    <w:b/>
                  </w:rPr>
                </w:pPr>
                <w:r>
                  <w:rPr>
                    <w:b/>
                  </w:rPr>
                  <w:t xml:space="preserve">All very pertaining to the topic of interest, Dental anxiety, and looked at different therapies that all show significance in reducing anxiety and potentially </w:t>
                </w:r>
                <w:r w:rsidR="00E00650">
                  <w:rPr>
                    <w:b/>
                  </w:rPr>
                  <w:t xml:space="preserve">promoting an increase in oral health status by increasing patient compliance to be treated. </w:t>
                </w:r>
              </w:p>
            </w:tc>
          </w:sdtContent>
        </w:sdt>
      </w:tr>
      <w:tr w:rsidR="00692E4D" w:rsidTr="002E6FF2">
        <w:tc>
          <w:tcPr>
            <w:tcW w:w="8640" w:type="dxa"/>
          </w:tcPr>
          <w:p w:rsidR="00692E4D" w:rsidRPr="006A2AEF" w:rsidRDefault="00692E4D" w:rsidP="00692E4D">
            <w:pPr>
              <w:rPr>
                <w:b/>
              </w:rPr>
            </w:pPr>
            <w:r w:rsidRPr="00974240">
              <w:rPr>
                <w:b/>
              </w:rPr>
              <w:t>Article(s) Synopsis:</w:t>
            </w:r>
          </w:p>
        </w:tc>
      </w:tr>
      <w:tr w:rsidR="00692E4D" w:rsidTr="002E6FF2">
        <w:sdt>
          <w:sdtPr>
            <w:id w:val="-1273706365"/>
            <w:placeholder>
              <w:docPart w:val="CD5085E3943545F0974FA7B375EE1726"/>
            </w:placeholder>
          </w:sdtPr>
          <w:sdtEndPr/>
          <w:sdtContent>
            <w:tc>
              <w:tcPr>
                <w:tcW w:w="8640" w:type="dxa"/>
              </w:tcPr>
              <w:p w:rsidR="00494F84" w:rsidRPr="00494F84" w:rsidRDefault="00494F84" w:rsidP="00494F84">
                <w:pPr>
                  <w:pStyle w:val="ListParagraph"/>
                  <w:numPr>
                    <w:ilvl w:val="0"/>
                    <w:numId w:val="17"/>
                  </w:numPr>
                  <w:rPr>
                    <w:b/>
                  </w:rPr>
                </w:pPr>
                <w:r>
                  <w:t>The use of progressive muscle relaxation therapy brought a decrease on the Beck depression inventory, Systolic and Diastolic BP, Pulse rate, and Salivary cortisol levels on patients that had undergone periodontal maintenance procedures. This study included the most objective statistics that show a decrease in many metabolic indicators that show reduction in anxiety.</w:t>
                </w:r>
              </w:p>
              <w:p w:rsidR="00494F84" w:rsidRPr="00494F84" w:rsidRDefault="00494F84" w:rsidP="00494F84">
                <w:pPr>
                  <w:pStyle w:val="ListParagraph"/>
                  <w:numPr>
                    <w:ilvl w:val="0"/>
                    <w:numId w:val="17"/>
                  </w:numPr>
                  <w:rPr>
                    <w:b/>
                  </w:rPr>
                </w:pPr>
                <w:r>
                  <w:t xml:space="preserve">The use of acupressure in children proved to be effective in reducing anxiety based on MCDAS scores and pulse rate during scaling and restorative procedures. A sham control and control group did not show as significant decrease in anxiety levels prior to said procedure. </w:t>
                </w:r>
              </w:p>
              <w:p w:rsidR="00692E4D" w:rsidRPr="00494F84" w:rsidRDefault="00494F84" w:rsidP="00494F84">
                <w:pPr>
                  <w:pStyle w:val="ListParagraph"/>
                  <w:numPr>
                    <w:ilvl w:val="0"/>
                    <w:numId w:val="17"/>
                  </w:numPr>
                  <w:rPr>
                    <w:b/>
                  </w:rPr>
                </w:pPr>
                <w:r>
                  <w:t xml:space="preserve">Use of Nitrous Oxide inhalation was proven to be a successful </w:t>
                </w:r>
                <w:proofErr w:type="spellStart"/>
                <w:r>
                  <w:t>therapuetic</w:t>
                </w:r>
                <w:proofErr w:type="spellEnd"/>
                <w:r>
                  <w:t xml:space="preserve"> in reducing anxiety levels based on patient self-assessment prior to, 5 min after inhalation, and post-operative across a variety of common dental procedures. Mood changes were most successfully reduced in patients that </w:t>
                </w:r>
                <w:proofErr w:type="spellStart"/>
                <w:r>
                  <w:t>self reported</w:t>
                </w:r>
                <w:proofErr w:type="spellEnd"/>
                <w:r>
                  <w:t xml:space="preserve"> as being Highly or Moderately Anxious prior to starting the procedure.</w:t>
                </w:r>
              </w:p>
            </w:tc>
          </w:sdtContent>
        </w:sdt>
      </w:tr>
      <w:tr w:rsidR="00692E4D" w:rsidTr="002E6FF2">
        <w:tc>
          <w:tcPr>
            <w:tcW w:w="8640" w:type="dxa"/>
          </w:tcPr>
          <w:p w:rsidR="00692E4D" w:rsidRDefault="00692E4D" w:rsidP="00692E4D">
            <w:pPr>
              <w:pStyle w:val="ColorfulList-Accent11"/>
            </w:pPr>
            <w:r w:rsidRPr="006A2AEF">
              <w:rPr>
                <w:rFonts w:cs="Verdana"/>
                <w:b/>
                <w:szCs w:val="26"/>
              </w:rPr>
              <w:t>Le</w:t>
            </w:r>
            <w:r w:rsidRPr="006A2AEF">
              <w:rPr>
                <w:b/>
              </w:rPr>
              <w:t>vels of Evidence</w:t>
            </w:r>
            <w:proofErr w:type="gramStart"/>
            <w:r w:rsidRPr="006A2AEF">
              <w:rPr>
                <w:b/>
              </w:rPr>
              <w:t xml:space="preserve">:  </w:t>
            </w:r>
            <w:r>
              <w:t>(</w:t>
            </w:r>
            <w:proofErr w:type="gramEnd"/>
            <w:r>
              <w:t xml:space="preserve">For Therapy/Prevention, Etiology/Harm)  </w:t>
            </w:r>
          </w:p>
          <w:p w:rsidR="00692E4D" w:rsidRDefault="00692E4D" w:rsidP="00692E4D">
            <w:r>
              <w:t xml:space="preserve">See   </w:t>
            </w:r>
            <w:hyperlink r:id="rId11" w:history="1">
              <w:r w:rsidRPr="00505FEF">
                <w:rPr>
                  <w:rStyle w:val="Hyperlink"/>
                </w:rPr>
                <w:t>http://www.cebm.net/index.aspx?o=1025</w:t>
              </w:r>
            </w:hyperlink>
          </w:p>
          <w:p w:rsidR="004816C3" w:rsidRPr="009A3ACA" w:rsidRDefault="000C33D7" w:rsidP="004816C3">
            <w:sdt>
              <w:sdtPr>
                <w:rPr>
                  <w:b/>
                </w:rPr>
                <w:id w:val="177859719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0C33D7" w:rsidP="004816C3">
            <w:sdt>
              <w:sdtPr>
                <w:rPr>
                  <w:b/>
                </w:rPr>
                <w:id w:val="404413427"/>
                <w14:checkbox>
                  <w14:checked w14:val="1"/>
                  <w14:checkedState w14:val="2612" w14:font="MS Gothic"/>
                  <w14:uncheckedState w14:val="2610" w14:font="MS Gothic"/>
                </w14:checkbox>
              </w:sdtPr>
              <w:sdtEndPr/>
              <w:sdtContent>
                <w:r w:rsidR="00B7291E">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0C33D7" w:rsidP="004816C3">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0C33D7" w:rsidP="004816C3">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0C33D7" w:rsidP="004816C3">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0C33D7" w:rsidP="004816C3">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0C33D7" w:rsidP="004816C3">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0C33D7" w:rsidP="004816C3">
            <w:sdt>
              <w:sdtPr>
                <w:rPr>
                  <w:b/>
                </w:rPr>
                <w:id w:val="90821527"/>
                <w14:checkbox>
                  <w14:checked w14:val="1"/>
                  <w14:checkedState w14:val="2612" w14:font="MS Gothic"/>
                  <w14:uncheckedState w14:val="2610" w14:font="MS Gothic"/>
                </w14:checkbox>
              </w:sdtPr>
              <w:sdtEndPr/>
              <w:sdtContent>
                <w:r w:rsidR="00E00650">
                  <w:rPr>
                    <w:rFonts w:ascii="MS Gothic" w:eastAsia="MS Gothic" w:hAnsi="MS Gothic" w:hint="eastAsia"/>
                    <w:b/>
                  </w:rPr>
                  <w:t>☒</w:t>
                </w:r>
              </w:sdtContent>
            </w:sdt>
            <w:r w:rsidR="004816C3">
              <w:rPr>
                <w:b/>
              </w:rPr>
              <w:t xml:space="preserve"> 5</w:t>
            </w:r>
            <w:r w:rsidR="004816C3">
              <w:t xml:space="preserve"> – Case Series, Case Reports</w:t>
            </w:r>
          </w:p>
          <w:p w:rsidR="004816C3" w:rsidRDefault="000C33D7" w:rsidP="004816C3">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0C33D7" w:rsidP="004816C3">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0C33D7" w:rsidP="00692E4D">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rPr>
                <w:b/>
              </w:rPr>
            </w:pPr>
            <w:r w:rsidRPr="00974240">
              <w:rPr>
                <w:b/>
              </w:rPr>
              <w:lastRenderedPageBreak/>
              <w:t>Strength of Recommendation Taxonomy (SORT) For Guidelines and Systematic Reviews</w:t>
            </w:r>
          </w:p>
          <w:p w:rsidR="00692E4D" w:rsidRDefault="00692E4D" w:rsidP="00692E4D">
            <w:pPr>
              <w:rPr>
                <w:b/>
              </w:rPr>
            </w:pPr>
            <w:r>
              <w:t xml:space="preserve">See article </w:t>
            </w:r>
            <w:r w:rsidRPr="00355808">
              <w:rPr>
                <w:b/>
              </w:rPr>
              <w:t>J Evid Base Dent Pract 2007;147-150</w:t>
            </w:r>
          </w:p>
          <w:p w:rsidR="00692E4D" w:rsidRDefault="000C33D7" w:rsidP="00692E4D">
            <w:pPr>
              <w:rPr>
                <w:b/>
              </w:rPr>
            </w:pPr>
            <w:sdt>
              <w:sdtPr>
                <w:rPr>
                  <w:b/>
                </w:rPr>
                <w:id w:val="-1845076682"/>
                <w14:checkbox>
                  <w14:checked w14:val="1"/>
                  <w14:checkedState w14:val="2612" w14:font="MS Gothic"/>
                  <w14:uncheckedState w14:val="2610" w14:font="MS Gothic"/>
                </w14:checkbox>
              </w:sdtPr>
              <w:sdtEndPr/>
              <w:sdtContent>
                <w:r w:rsidR="00B7291E">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rsidR="00692E4D" w:rsidRDefault="000C33D7" w:rsidP="00692E4D">
            <w:pPr>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rsidR="00692E4D" w:rsidRDefault="000C33D7" w:rsidP="00692E4D">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rsidR="00692E4D" w:rsidRDefault="00692E4D" w:rsidP="00692E4D">
            <w:pPr>
              <w:rPr>
                <w:b/>
              </w:rPr>
            </w:pPr>
          </w:p>
        </w:tc>
      </w:tr>
      <w:tr w:rsidR="00692E4D" w:rsidTr="002E6FF2">
        <w:tc>
          <w:tcPr>
            <w:tcW w:w="8640" w:type="dxa"/>
          </w:tcPr>
          <w:p w:rsidR="00692E4D" w:rsidRPr="00974240" w:rsidRDefault="00692E4D" w:rsidP="00692E4D">
            <w:pPr>
              <w:rPr>
                <w:b/>
              </w:rPr>
            </w:pPr>
            <w:r w:rsidRPr="00974240">
              <w:rPr>
                <w:b/>
              </w:rPr>
              <w:t>Conclusion</w:t>
            </w:r>
            <w:r>
              <w:rPr>
                <w:b/>
              </w:rPr>
              <w:t>(s)</w:t>
            </w:r>
            <w:r w:rsidRPr="00974240">
              <w:rPr>
                <w:b/>
              </w:rPr>
              <w:t>:</w:t>
            </w:r>
          </w:p>
        </w:tc>
      </w:tr>
      <w:tr w:rsidR="002972EE" w:rsidTr="002E6FF2">
        <w:sdt>
          <w:sdtPr>
            <w:id w:val="-1330988089"/>
          </w:sdtPr>
          <w:sdtEndPr/>
          <w:sdtContent>
            <w:tc>
              <w:tcPr>
                <w:tcW w:w="8640" w:type="dxa"/>
              </w:tcPr>
              <w:p w:rsidR="002972EE" w:rsidRPr="00440A7B" w:rsidRDefault="00494F84" w:rsidP="00440A7B">
                <w:r>
                  <w:t>Dentists c</w:t>
                </w:r>
                <w:r w:rsidR="00440A7B">
                  <w:t xml:space="preserve">an avoid the use of antidepressant/anxiolytic drugs to treat dental anxiety which can improve </w:t>
                </w:r>
                <w:proofErr w:type="spellStart"/>
                <w:r w:rsidR="00440A7B">
                  <w:t>O</w:t>
                </w:r>
                <w:r>
                  <w:t>H</w:t>
                </w:r>
                <w:r w:rsidR="00440A7B">
                  <w:t>RQ</w:t>
                </w:r>
                <w:r>
                  <w:t>oL</w:t>
                </w:r>
                <w:proofErr w:type="spellEnd"/>
                <w:r>
                  <w:t xml:space="preserve"> (Oral Health Related Quality of </w:t>
                </w:r>
                <w:proofErr w:type="gramStart"/>
                <w:r>
                  <w:t xml:space="preserve">Life) </w:t>
                </w:r>
                <w:r w:rsidR="00440A7B">
                  <w:t xml:space="preserve"> by</w:t>
                </w:r>
                <w:proofErr w:type="gramEnd"/>
                <w:r w:rsidR="00440A7B">
                  <w:t xml:space="preserve"> reducing harmful side effects such as hyposalivation.</w:t>
                </w:r>
                <w:r w:rsidR="00E00650">
                  <w:t xml:space="preserve"> The increase in the subjective comfort levels during a dental procedure can promote more frequent visits to the dentist which is first step toward increasing oral health status by establishing a dental home and developing a doctor-patient relationship that fosters betterment of oral health.</w:t>
                </w:r>
              </w:p>
            </w:tc>
          </w:sdtContent>
        </w:sdt>
      </w:tr>
    </w:tbl>
    <w:p w:rsidR="004112F5" w:rsidRDefault="004112F5" w:rsidP="00692E4D">
      <w:pPr>
        <w:pStyle w:val="ColorfulList-Accent11"/>
        <w:rPr>
          <w:b/>
        </w:rPr>
      </w:pPr>
    </w:p>
    <w:p w:rsidR="003B2868" w:rsidRDefault="003B2868" w:rsidP="00692E4D">
      <w:pPr>
        <w:pStyle w:val="ColorfulList-Accent11"/>
        <w:rPr>
          <w:b/>
        </w:rPr>
      </w:pPr>
    </w:p>
    <w:p w:rsidR="003B2868" w:rsidRPr="006A2AEF" w:rsidRDefault="003B2868" w:rsidP="00692E4D">
      <w:pPr>
        <w:pStyle w:val="ColorfulList-Accent11"/>
        <w:rPr>
          <w:b/>
        </w:rPr>
      </w:pPr>
    </w:p>
    <w:p w:rsidR="00746A56" w:rsidRDefault="004112F5" w:rsidP="00692E4D">
      <w:pPr>
        <w:rPr>
          <w:b/>
        </w:rPr>
      </w:pPr>
      <w:r>
        <w:tab/>
      </w:r>
      <w:r>
        <w:tab/>
      </w:r>
    </w:p>
    <w:p w:rsidR="003B2868" w:rsidRDefault="003B2868" w:rsidP="00692E4D">
      <w:pPr>
        <w:rPr>
          <w:b/>
        </w:rPr>
      </w:pPr>
    </w:p>
    <w:p w:rsidR="006A2AEF" w:rsidRDefault="006A2AEF" w:rsidP="00692E4D">
      <w:pPr>
        <w:pStyle w:val="ColorfulList-Accent11"/>
      </w:pPr>
    </w:p>
    <w:p w:rsidR="003B2868" w:rsidRPr="00746A56" w:rsidRDefault="003B2868" w:rsidP="00692E4D">
      <w:pPr>
        <w:pStyle w:val="ColorfulList-Accent11"/>
      </w:pPr>
    </w:p>
    <w:p w:rsidR="004112F5" w:rsidRDefault="004112F5" w:rsidP="00692E4D"/>
    <w:p w:rsidR="004112F5" w:rsidRPr="00355808" w:rsidRDefault="004112F5" w:rsidP="00692E4D">
      <w:r>
        <w:t xml:space="preserve">    </w:t>
      </w:r>
    </w:p>
    <w:p w:rsidR="004112F5" w:rsidRDefault="004112F5" w:rsidP="00692E4D"/>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3D7" w:rsidRDefault="000C33D7" w:rsidP="00692E4D">
      <w:r>
        <w:separator/>
      </w:r>
    </w:p>
  </w:endnote>
  <w:endnote w:type="continuationSeparator" w:id="0">
    <w:p w:rsidR="000C33D7" w:rsidRDefault="000C33D7" w:rsidP="0069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3D7" w:rsidRDefault="000C33D7" w:rsidP="00692E4D">
      <w:r>
        <w:separator/>
      </w:r>
    </w:p>
  </w:footnote>
  <w:footnote w:type="continuationSeparator" w:id="0">
    <w:p w:rsidR="000C33D7" w:rsidRDefault="000C33D7" w:rsidP="0069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A80181A"/>
    <w:lvl w:ilvl="0">
      <w:start w:val="1"/>
      <w:numFmt w:val="decimal"/>
      <w:lvlText w:val="%1."/>
      <w:lvlJc w:val="left"/>
      <w:pPr>
        <w:tabs>
          <w:tab w:val="num" w:pos="360"/>
        </w:tabs>
        <w:ind w:left="360" w:hanging="360"/>
      </w:pPr>
    </w:lvl>
  </w:abstractNum>
  <w:abstractNum w:abstractNumId="1" w15:restartNumberingAfterBreak="0">
    <w:nsid w:val="0DEF3022"/>
    <w:multiLevelType w:val="hybridMultilevel"/>
    <w:tmpl w:val="FF1A4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93DC7"/>
    <w:multiLevelType w:val="hybridMultilevel"/>
    <w:tmpl w:val="47EED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A3F3C"/>
    <w:multiLevelType w:val="hybridMultilevel"/>
    <w:tmpl w:val="15AE31F4"/>
    <w:lvl w:ilvl="0" w:tplc="B422EE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4F3227"/>
    <w:multiLevelType w:val="hybridMultilevel"/>
    <w:tmpl w:val="D006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855154"/>
    <w:multiLevelType w:val="hybridMultilevel"/>
    <w:tmpl w:val="B038EBCE"/>
    <w:lvl w:ilvl="0" w:tplc="F56E19D6">
      <w:start w:val="1"/>
      <w:numFmt w:val="decimal"/>
      <w:lvlText w:val="%1."/>
      <w:lvlJc w:val="left"/>
      <w:pPr>
        <w:ind w:left="420" w:hanging="360"/>
      </w:pPr>
      <w:rPr>
        <w:rFonts w:ascii="Helvetica Neue" w:hAnsi="Helvetica Neue" w:hint="default"/>
        <w:b w:val="0"/>
        <w:color w:val="21212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CE85762"/>
    <w:multiLevelType w:val="hybridMultilevel"/>
    <w:tmpl w:val="2456793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A86F55"/>
    <w:multiLevelType w:val="hybridMultilevel"/>
    <w:tmpl w:val="F2125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5"/>
  </w:num>
  <w:num w:numId="4">
    <w:abstractNumId w:val="3"/>
  </w:num>
  <w:num w:numId="5">
    <w:abstractNumId w:val="8"/>
  </w:num>
  <w:num w:numId="6">
    <w:abstractNumId w:val="9"/>
  </w:num>
  <w:num w:numId="7">
    <w:abstractNumId w:val="12"/>
  </w:num>
  <w:num w:numId="8">
    <w:abstractNumId w:val="10"/>
  </w:num>
  <w:num w:numId="9">
    <w:abstractNumId w:val="6"/>
  </w:num>
  <w:num w:numId="10">
    <w:abstractNumId w:val="0"/>
  </w:num>
  <w:num w:numId="11">
    <w:abstractNumId w:val="2"/>
  </w:num>
  <w:num w:numId="12">
    <w:abstractNumId w:val="13"/>
  </w:num>
  <w:num w:numId="13">
    <w:abstractNumId w:val="16"/>
  </w:num>
  <w:num w:numId="14">
    <w:abstractNumId w:val="1"/>
  </w:num>
  <w:num w:numId="15">
    <w:abstractNumId w:val="15"/>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5252"/>
    <w:rsid w:val="000573BB"/>
    <w:rsid w:val="000C33D7"/>
    <w:rsid w:val="000D1AF2"/>
    <w:rsid w:val="001704DA"/>
    <w:rsid w:val="00192604"/>
    <w:rsid w:val="001C073A"/>
    <w:rsid w:val="002967BF"/>
    <w:rsid w:val="002972EE"/>
    <w:rsid w:val="002E6FF2"/>
    <w:rsid w:val="003B2868"/>
    <w:rsid w:val="004112F5"/>
    <w:rsid w:val="00440A7B"/>
    <w:rsid w:val="00452229"/>
    <w:rsid w:val="004816C3"/>
    <w:rsid w:val="00494F84"/>
    <w:rsid w:val="004B1110"/>
    <w:rsid w:val="004B6EB7"/>
    <w:rsid w:val="005F06DC"/>
    <w:rsid w:val="00657CF8"/>
    <w:rsid w:val="00672CAF"/>
    <w:rsid w:val="00692E4D"/>
    <w:rsid w:val="006A2AEF"/>
    <w:rsid w:val="006A5E4B"/>
    <w:rsid w:val="007278F8"/>
    <w:rsid w:val="00746A56"/>
    <w:rsid w:val="007C7149"/>
    <w:rsid w:val="00815AE7"/>
    <w:rsid w:val="0084217E"/>
    <w:rsid w:val="008A3451"/>
    <w:rsid w:val="0090270A"/>
    <w:rsid w:val="00A228DA"/>
    <w:rsid w:val="00B7291E"/>
    <w:rsid w:val="00D55267"/>
    <w:rsid w:val="00DD26F4"/>
    <w:rsid w:val="00E00650"/>
    <w:rsid w:val="00E4293E"/>
    <w:rsid w:val="00F32487"/>
    <w:rsid w:val="00F767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7F097D"/>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91E"/>
    <w:pPr>
      <w:spacing w:after="0"/>
    </w:pPr>
    <w:rPr>
      <w:rFonts w:ascii="Times New Roman" w:eastAsia="Times New Roman" w:hAnsi="Times New Roman" w:cs="Times New Roman"/>
    </w:rPr>
  </w:style>
  <w:style w:type="paragraph" w:styleId="Heading1">
    <w:name w:val="heading 1"/>
    <w:basedOn w:val="Normal"/>
    <w:link w:val="Heading1Char"/>
    <w:uiPriority w:val="9"/>
    <w:qFormat/>
    <w:rsid w:val="00440A7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954F72" w:themeColor="followedHyperlink"/>
      <w:u w:val="single"/>
    </w:rPr>
  </w:style>
  <w:style w:type="paragraph" w:styleId="Header">
    <w:name w:val="header"/>
    <w:basedOn w:val="Normal"/>
    <w:link w:val="HeaderChar"/>
    <w:uiPriority w:val="99"/>
    <w:rsid w:val="00692E4D"/>
    <w:pPr>
      <w:tabs>
        <w:tab w:val="center" w:pos="4680"/>
        <w:tab w:val="right" w:pos="9360"/>
      </w:tabs>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character" w:styleId="UnresolvedMention">
    <w:name w:val="Unresolved Mention"/>
    <w:basedOn w:val="DefaultParagraphFont"/>
    <w:uiPriority w:val="99"/>
    <w:semiHidden/>
    <w:unhideWhenUsed/>
    <w:rsid w:val="00440A7B"/>
    <w:rPr>
      <w:color w:val="605E5C"/>
      <w:shd w:val="clear" w:color="auto" w:fill="E1DFDD"/>
    </w:rPr>
  </w:style>
  <w:style w:type="character" w:customStyle="1" w:styleId="Heading1Char">
    <w:name w:val="Heading 1 Char"/>
    <w:basedOn w:val="DefaultParagraphFont"/>
    <w:link w:val="Heading1"/>
    <w:uiPriority w:val="9"/>
    <w:rsid w:val="00440A7B"/>
    <w:rPr>
      <w:rFonts w:ascii="Times New Roman" w:eastAsia="Times New Roman" w:hAnsi="Times New Roman" w:cs="Times New Roman"/>
      <w:b/>
      <w:bCs/>
      <w:kern w:val="36"/>
      <w:sz w:val="48"/>
      <w:szCs w:val="48"/>
    </w:rPr>
  </w:style>
  <w:style w:type="paragraph" w:customStyle="1" w:styleId="descript">
    <w:name w:val="descript"/>
    <w:basedOn w:val="Normal"/>
    <w:rsid w:val="00440A7B"/>
    <w:pPr>
      <w:spacing w:before="100" w:beforeAutospacing="1" w:after="100" w:afterAutospacing="1"/>
    </w:pPr>
  </w:style>
  <w:style w:type="character" w:styleId="Emphasis">
    <w:name w:val="Emphasis"/>
    <w:basedOn w:val="DefaultParagraphFont"/>
    <w:uiPriority w:val="20"/>
    <w:qFormat/>
    <w:rsid w:val="00440A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03703">
      <w:bodyDiv w:val="1"/>
      <w:marLeft w:val="0"/>
      <w:marRight w:val="0"/>
      <w:marTop w:val="0"/>
      <w:marBottom w:val="0"/>
      <w:divBdr>
        <w:top w:val="none" w:sz="0" w:space="0" w:color="auto"/>
        <w:left w:val="none" w:sz="0" w:space="0" w:color="auto"/>
        <w:bottom w:val="none" w:sz="0" w:space="0" w:color="auto"/>
        <w:right w:val="none" w:sz="0" w:space="0" w:color="auto"/>
      </w:divBdr>
    </w:div>
    <w:div w:id="1294404384">
      <w:bodyDiv w:val="1"/>
      <w:marLeft w:val="0"/>
      <w:marRight w:val="0"/>
      <w:marTop w:val="0"/>
      <w:marBottom w:val="0"/>
      <w:divBdr>
        <w:top w:val="none" w:sz="0" w:space="0" w:color="auto"/>
        <w:left w:val="none" w:sz="0" w:space="0" w:color="auto"/>
        <w:bottom w:val="none" w:sz="0" w:space="0" w:color="auto"/>
        <w:right w:val="none" w:sz="0" w:space="0" w:color="auto"/>
      </w:divBdr>
    </w:div>
    <w:div w:id="1750154977">
      <w:bodyDiv w:val="1"/>
      <w:marLeft w:val="0"/>
      <w:marRight w:val="0"/>
      <w:marTop w:val="0"/>
      <w:marBottom w:val="0"/>
      <w:divBdr>
        <w:top w:val="none" w:sz="0" w:space="0" w:color="auto"/>
        <w:left w:val="none" w:sz="0" w:space="0" w:color="auto"/>
        <w:bottom w:val="none" w:sz="0" w:space="0" w:color="auto"/>
        <w:right w:val="none" w:sz="0" w:space="0" w:color="auto"/>
      </w:divBdr>
    </w:div>
    <w:div w:id="1763406863">
      <w:bodyDiv w:val="1"/>
      <w:marLeft w:val="0"/>
      <w:marRight w:val="0"/>
      <w:marTop w:val="0"/>
      <w:marBottom w:val="0"/>
      <w:divBdr>
        <w:top w:val="none" w:sz="0" w:space="0" w:color="auto"/>
        <w:left w:val="none" w:sz="0" w:space="0" w:color="auto"/>
        <w:bottom w:val="none" w:sz="0" w:space="0" w:color="auto"/>
        <w:right w:val="none" w:sz="0" w:space="0" w:color="auto"/>
      </w:divBdr>
    </w:div>
    <w:div w:id="2104179547">
      <w:bodyDiv w:val="1"/>
      <w:marLeft w:val="0"/>
      <w:marRight w:val="0"/>
      <w:marTop w:val="0"/>
      <w:marBottom w:val="0"/>
      <w:divBdr>
        <w:top w:val="none" w:sz="0" w:space="0" w:color="auto"/>
        <w:left w:val="none" w:sz="0" w:space="0" w:color="auto"/>
        <w:bottom w:val="none" w:sz="0" w:space="0" w:color="auto"/>
        <w:right w:val="none" w:sz="0" w:space="0" w:color="auto"/>
      </w:divBdr>
      <w:divsChild>
        <w:div w:id="1062681434">
          <w:marLeft w:val="0"/>
          <w:marRight w:val="0"/>
          <w:marTop w:val="0"/>
          <w:marBottom w:val="0"/>
          <w:divBdr>
            <w:top w:val="none" w:sz="0" w:space="0" w:color="auto"/>
            <w:left w:val="none" w:sz="0" w:space="0" w:color="auto"/>
            <w:bottom w:val="none" w:sz="0" w:space="0" w:color="auto"/>
            <w:right w:val="none" w:sz="0" w:space="0" w:color="auto"/>
          </w:divBdr>
          <w:divsChild>
            <w:div w:id="409156026">
              <w:marLeft w:val="0"/>
              <w:marRight w:val="0"/>
              <w:marTop w:val="0"/>
              <w:marBottom w:val="0"/>
              <w:divBdr>
                <w:top w:val="none" w:sz="0" w:space="0" w:color="auto"/>
                <w:left w:val="none" w:sz="0" w:space="0" w:color="auto"/>
                <w:bottom w:val="none" w:sz="0" w:space="0" w:color="auto"/>
                <w:right w:val="none" w:sz="0" w:space="0" w:color="auto"/>
              </w:divBdr>
              <w:divsChild>
                <w:div w:id="5060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8A18AD"/>
    <w:rsid w:val="00F04C70"/>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Postula, Jacob</cp:lastModifiedBy>
  <cp:revision>6</cp:revision>
  <dcterms:created xsi:type="dcterms:W3CDTF">2020-09-16T01:46:00Z</dcterms:created>
  <dcterms:modified xsi:type="dcterms:W3CDTF">2020-09-22T01:41:00Z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