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E1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564C19" w14:textId="77777777" w:rsidTr="002E6FF2">
        <w:tc>
          <w:tcPr>
            <w:tcW w:w="8640" w:type="dxa"/>
          </w:tcPr>
          <w:p w14:paraId="03F6DBA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1FBD20F" w14:textId="77777777" w:rsidTr="002E6FF2">
        <w:sdt>
          <w:sdtPr>
            <w:rPr>
              <w:b/>
            </w:rPr>
            <w:id w:val="-1691829634"/>
            <w:placeholder>
              <w:docPart w:val="265D0461B31648B8AE71BBAA52322F9B"/>
            </w:placeholder>
          </w:sdtPr>
          <w:sdtEndPr/>
          <w:sdtContent>
            <w:tc>
              <w:tcPr>
                <w:tcW w:w="8640" w:type="dxa"/>
              </w:tcPr>
              <w:p w14:paraId="79B22329" w14:textId="7B6CA85A" w:rsidR="00692E4D" w:rsidRDefault="00A65D2D" w:rsidP="002972EE">
                <w:pPr>
                  <w:ind w:left="0" w:firstLine="0"/>
                  <w:rPr>
                    <w:b/>
                  </w:rPr>
                </w:pPr>
                <w:r>
                  <w:rPr>
                    <w:b/>
                  </w:rPr>
                  <w:t>1B-3</w:t>
                </w:r>
              </w:p>
            </w:tc>
          </w:sdtContent>
        </w:sdt>
      </w:tr>
      <w:tr w:rsidR="00692E4D" w14:paraId="10E14407" w14:textId="77777777" w:rsidTr="002E6FF2">
        <w:tc>
          <w:tcPr>
            <w:tcW w:w="8640" w:type="dxa"/>
          </w:tcPr>
          <w:p w14:paraId="74B64E2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473CA2DD" w14:textId="77777777" w:rsidTr="002E6FF2">
        <w:sdt>
          <w:sdtPr>
            <w:rPr>
              <w:b/>
            </w:rPr>
            <w:id w:val="-210194195"/>
            <w:placeholder>
              <w:docPart w:val="709D462CF2584603817D5F642DC05C21"/>
            </w:placeholder>
          </w:sdtPr>
          <w:sdtEndPr/>
          <w:sdtContent>
            <w:tc>
              <w:tcPr>
                <w:tcW w:w="8640" w:type="dxa"/>
              </w:tcPr>
              <w:p w14:paraId="2CFB7ECF" w14:textId="07A6459C" w:rsidR="00692E4D" w:rsidRDefault="00A65D2D" w:rsidP="00692E4D">
                <w:pPr>
                  <w:ind w:left="0" w:firstLine="0"/>
                  <w:rPr>
                    <w:b/>
                  </w:rPr>
                </w:pPr>
                <w:r>
                  <w:rPr>
                    <w:b/>
                  </w:rPr>
                  <w:t xml:space="preserve">Soren </w:t>
                </w:r>
                <w:proofErr w:type="spellStart"/>
                <w:r>
                  <w:rPr>
                    <w:b/>
                  </w:rPr>
                  <w:t>Paape</w:t>
                </w:r>
                <w:proofErr w:type="spellEnd"/>
                <w:r>
                  <w:rPr>
                    <w:b/>
                  </w:rPr>
                  <w:t>, Austin Mahlik, Ciara Schwarz, and Jacob Landon</w:t>
                </w:r>
              </w:p>
            </w:tc>
          </w:sdtContent>
        </w:sdt>
      </w:tr>
      <w:tr w:rsidR="00692E4D" w14:paraId="60C684E5" w14:textId="77777777" w:rsidTr="002E6FF2">
        <w:tc>
          <w:tcPr>
            <w:tcW w:w="8640" w:type="dxa"/>
          </w:tcPr>
          <w:p w14:paraId="7C40E60D" w14:textId="77777777" w:rsidR="00692E4D" w:rsidRDefault="00692E4D" w:rsidP="00692E4D">
            <w:pPr>
              <w:ind w:left="0" w:firstLine="0"/>
              <w:rPr>
                <w:b/>
              </w:rPr>
            </w:pPr>
            <w:r w:rsidRPr="00974240">
              <w:rPr>
                <w:b/>
              </w:rPr>
              <w:t>Clinical Question:</w:t>
            </w:r>
          </w:p>
        </w:tc>
      </w:tr>
      <w:tr w:rsidR="00692E4D" w14:paraId="0545AC2A" w14:textId="77777777" w:rsidTr="002E6FF2">
        <w:sdt>
          <w:sdtPr>
            <w:rPr>
              <w:b/>
            </w:rPr>
            <w:id w:val="-1425953839"/>
            <w:placeholder>
              <w:docPart w:val="CB28A101A52146ED8ABC0548D1368A93"/>
            </w:placeholder>
          </w:sdtPr>
          <w:sdtEndPr/>
          <w:sdtContent>
            <w:tc>
              <w:tcPr>
                <w:tcW w:w="8640" w:type="dxa"/>
              </w:tcPr>
              <w:p w14:paraId="3AE52EEA" w14:textId="098D1C0F" w:rsidR="00692E4D" w:rsidRDefault="00A65D2D" w:rsidP="00692E4D">
                <w:pPr>
                  <w:ind w:left="0" w:firstLine="0"/>
                  <w:rPr>
                    <w:b/>
                  </w:rPr>
                </w:pPr>
                <w:r w:rsidRPr="00A65D2D">
                  <w:rPr>
                    <w:b/>
                  </w:rPr>
                  <w:t xml:space="preserve">What is the success of implants placed in patients with relative contraindications that may impact healing </w:t>
                </w:r>
                <w:r w:rsidR="0080036F">
                  <w:rPr>
                    <w:b/>
                  </w:rPr>
                  <w:t>including</w:t>
                </w:r>
                <w:r w:rsidRPr="00A65D2D">
                  <w:rPr>
                    <w:b/>
                  </w:rPr>
                  <w:t xml:space="preserve"> an infected site</w:t>
                </w:r>
                <w:r w:rsidR="0080036F">
                  <w:rPr>
                    <w:b/>
                  </w:rPr>
                  <w:t xml:space="preserve"> and diabetes</w:t>
                </w:r>
                <w:r w:rsidRPr="00A65D2D">
                  <w:rPr>
                    <w:b/>
                  </w:rPr>
                  <w:t>?</w:t>
                </w:r>
              </w:p>
            </w:tc>
          </w:sdtContent>
        </w:sdt>
      </w:tr>
      <w:tr w:rsidR="00692E4D" w14:paraId="2BAF81BF" w14:textId="77777777" w:rsidTr="002E6FF2">
        <w:tc>
          <w:tcPr>
            <w:tcW w:w="8640" w:type="dxa"/>
          </w:tcPr>
          <w:p w14:paraId="5CEA82F9" w14:textId="77777777" w:rsidR="00692E4D" w:rsidRDefault="00692E4D" w:rsidP="00692E4D">
            <w:pPr>
              <w:ind w:left="0" w:firstLine="0"/>
              <w:rPr>
                <w:b/>
              </w:rPr>
            </w:pPr>
            <w:r w:rsidRPr="00974240">
              <w:rPr>
                <w:b/>
              </w:rPr>
              <w:t>PICO Format:</w:t>
            </w:r>
          </w:p>
        </w:tc>
      </w:tr>
      <w:tr w:rsidR="00692E4D" w14:paraId="3A62F794" w14:textId="77777777" w:rsidTr="002E6FF2">
        <w:tc>
          <w:tcPr>
            <w:tcW w:w="8640" w:type="dxa"/>
          </w:tcPr>
          <w:p w14:paraId="07113676" w14:textId="77777777" w:rsidR="00692E4D" w:rsidRDefault="00692E4D" w:rsidP="00692E4D">
            <w:pPr>
              <w:ind w:left="0" w:firstLine="0"/>
              <w:rPr>
                <w:b/>
              </w:rPr>
            </w:pPr>
            <w:r>
              <w:rPr>
                <w:b/>
              </w:rPr>
              <w:t>P:</w:t>
            </w:r>
          </w:p>
        </w:tc>
      </w:tr>
      <w:tr w:rsidR="00692E4D" w14:paraId="584A64C2" w14:textId="77777777" w:rsidTr="002E6FF2">
        <w:sdt>
          <w:sdtPr>
            <w:rPr>
              <w:b/>
            </w:rPr>
            <w:id w:val="514967572"/>
            <w:placeholder>
              <w:docPart w:val="0B496F479641478AA9C18C45B5269562"/>
            </w:placeholder>
          </w:sdtPr>
          <w:sdtEndPr/>
          <w:sdtContent>
            <w:tc>
              <w:tcPr>
                <w:tcW w:w="8640" w:type="dxa"/>
              </w:tcPr>
              <w:p w14:paraId="01C0B0C7" w14:textId="27AB14E3" w:rsidR="00692E4D" w:rsidRDefault="00A65D2D" w:rsidP="00A65D2D">
                <w:pPr>
                  <w:ind w:left="0" w:firstLine="0"/>
                  <w:rPr>
                    <w:b/>
                  </w:rPr>
                </w:pPr>
                <w:r w:rsidRPr="00A65D2D">
                  <w:rPr>
                    <w:b/>
                  </w:rPr>
                  <w:t>Adult patient receiving an implant placemen</w:t>
                </w:r>
                <w:r>
                  <w:rPr>
                    <w:b/>
                  </w:rPr>
                  <w:t>t</w:t>
                </w:r>
              </w:p>
            </w:tc>
          </w:sdtContent>
        </w:sdt>
      </w:tr>
      <w:tr w:rsidR="00692E4D" w14:paraId="0FC8A760" w14:textId="77777777" w:rsidTr="002E6FF2">
        <w:tc>
          <w:tcPr>
            <w:tcW w:w="8640" w:type="dxa"/>
          </w:tcPr>
          <w:p w14:paraId="39085599" w14:textId="77777777" w:rsidR="00692E4D" w:rsidRDefault="00692E4D" w:rsidP="00692E4D">
            <w:pPr>
              <w:ind w:left="0" w:firstLine="0"/>
              <w:rPr>
                <w:b/>
              </w:rPr>
            </w:pPr>
            <w:r>
              <w:rPr>
                <w:b/>
              </w:rPr>
              <w:t>I:</w:t>
            </w:r>
          </w:p>
        </w:tc>
      </w:tr>
      <w:tr w:rsidR="00692E4D" w14:paraId="1B72BB34" w14:textId="77777777" w:rsidTr="002E6FF2">
        <w:sdt>
          <w:sdtPr>
            <w:rPr>
              <w:b/>
            </w:rPr>
            <w:id w:val="-2083594704"/>
            <w:placeholder>
              <w:docPart w:val="420E726688A04571878AAF0AAEBEC280"/>
            </w:placeholder>
          </w:sdtPr>
          <w:sdtEndPr/>
          <w:sdtContent>
            <w:tc>
              <w:tcPr>
                <w:tcW w:w="8640" w:type="dxa"/>
              </w:tcPr>
              <w:p w14:paraId="1FC9CAB8" w14:textId="5C9F08E1" w:rsidR="00692E4D" w:rsidRDefault="00A65D2D" w:rsidP="00692E4D">
                <w:pPr>
                  <w:ind w:left="0" w:firstLine="0"/>
                  <w:rPr>
                    <w:b/>
                  </w:rPr>
                </w:pPr>
                <w:r w:rsidRPr="00A65D2D">
                  <w:rPr>
                    <w:b/>
                  </w:rPr>
                  <w:t xml:space="preserve">Relative contraindications </w:t>
                </w:r>
                <w:r w:rsidR="00773C5C">
                  <w:rPr>
                    <w:b/>
                  </w:rPr>
                  <w:t xml:space="preserve">including </w:t>
                </w:r>
                <w:r w:rsidR="0080036F">
                  <w:rPr>
                    <w:b/>
                  </w:rPr>
                  <w:t>an</w:t>
                </w:r>
                <w:r w:rsidRPr="00A65D2D">
                  <w:rPr>
                    <w:b/>
                  </w:rPr>
                  <w:t xml:space="preserve"> infection</w:t>
                </w:r>
                <w:r w:rsidR="0080036F">
                  <w:rPr>
                    <w:b/>
                  </w:rPr>
                  <w:t xml:space="preserve"> site</w:t>
                </w:r>
                <w:r w:rsidR="00773C5C">
                  <w:rPr>
                    <w:b/>
                  </w:rPr>
                  <w:t xml:space="preserve"> and diabetes </w:t>
                </w:r>
              </w:p>
            </w:tc>
          </w:sdtContent>
        </w:sdt>
      </w:tr>
      <w:tr w:rsidR="00692E4D" w14:paraId="459D7BB4" w14:textId="77777777" w:rsidTr="002E6FF2">
        <w:tc>
          <w:tcPr>
            <w:tcW w:w="8640" w:type="dxa"/>
          </w:tcPr>
          <w:p w14:paraId="1B8482E0" w14:textId="77777777" w:rsidR="00692E4D" w:rsidRDefault="00692E4D" w:rsidP="00692E4D">
            <w:pPr>
              <w:ind w:left="0" w:firstLine="0"/>
              <w:rPr>
                <w:b/>
              </w:rPr>
            </w:pPr>
            <w:r>
              <w:rPr>
                <w:b/>
              </w:rPr>
              <w:t>C:</w:t>
            </w:r>
          </w:p>
        </w:tc>
      </w:tr>
      <w:tr w:rsidR="00692E4D" w14:paraId="143CB8A2" w14:textId="77777777" w:rsidTr="002E6FF2">
        <w:sdt>
          <w:sdtPr>
            <w:rPr>
              <w:b/>
            </w:rPr>
            <w:id w:val="2101905041"/>
            <w:placeholder>
              <w:docPart w:val="A4680AC4DEF54CC7849DE12213A3FF7E"/>
            </w:placeholder>
          </w:sdtPr>
          <w:sdtEndPr/>
          <w:sdtContent>
            <w:tc>
              <w:tcPr>
                <w:tcW w:w="8640" w:type="dxa"/>
              </w:tcPr>
              <w:p w14:paraId="459F884C" w14:textId="15B9F4CF" w:rsidR="00692E4D" w:rsidRDefault="00A65D2D" w:rsidP="00692E4D">
                <w:pPr>
                  <w:ind w:left="0" w:firstLine="0"/>
                  <w:rPr>
                    <w:b/>
                  </w:rPr>
                </w:pPr>
                <w:r w:rsidRPr="00A65D2D">
                  <w:rPr>
                    <w:b/>
                  </w:rPr>
                  <w:t>No contraindications</w:t>
                </w:r>
              </w:p>
            </w:tc>
          </w:sdtContent>
        </w:sdt>
      </w:tr>
      <w:tr w:rsidR="00692E4D" w14:paraId="75CF3F2C" w14:textId="77777777" w:rsidTr="002E6FF2">
        <w:tc>
          <w:tcPr>
            <w:tcW w:w="8640" w:type="dxa"/>
          </w:tcPr>
          <w:p w14:paraId="7883DD57" w14:textId="77777777" w:rsidR="00692E4D" w:rsidRDefault="00692E4D" w:rsidP="00692E4D">
            <w:pPr>
              <w:ind w:left="0" w:firstLine="0"/>
              <w:rPr>
                <w:b/>
              </w:rPr>
            </w:pPr>
            <w:r>
              <w:rPr>
                <w:b/>
              </w:rPr>
              <w:t>O:</w:t>
            </w:r>
          </w:p>
        </w:tc>
      </w:tr>
      <w:tr w:rsidR="00692E4D" w14:paraId="5D22E4FE" w14:textId="77777777" w:rsidTr="002E6FF2">
        <w:sdt>
          <w:sdtPr>
            <w:rPr>
              <w:b/>
            </w:rPr>
            <w:id w:val="1006642820"/>
            <w:placeholder>
              <w:docPart w:val="491FF049B12E4104A025C1A006DFA7B9"/>
            </w:placeholder>
          </w:sdtPr>
          <w:sdtEndPr/>
          <w:sdtContent>
            <w:tc>
              <w:tcPr>
                <w:tcW w:w="8640" w:type="dxa"/>
              </w:tcPr>
              <w:p w14:paraId="2AB782D5" w14:textId="76EC7179" w:rsidR="00692E4D" w:rsidRDefault="00A65D2D" w:rsidP="00692E4D">
                <w:pPr>
                  <w:ind w:left="0" w:firstLine="0"/>
                  <w:rPr>
                    <w:b/>
                  </w:rPr>
                </w:pPr>
                <w:r w:rsidRPr="00A65D2D">
                  <w:rPr>
                    <w:b/>
                  </w:rPr>
                  <w:t>Survival rates</w:t>
                </w:r>
              </w:p>
            </w:tc>
          </w:sdtContent>
        </w:sdt>
      </w:tr>
      <w:tr w:rsidR="00692E4D" w14:paraId="0B3E821D" w14:textId="77777777" w:rsidTr="002E6FF2">
        <w:tc>
          <w:tcPr>
            <w:tcW w:w="8640" w:type="dxa"/>
          </w:tcPr>
          <w:p w14:paraId="1EB7C648" w14:textId="77777777" w:rsidR="00692E4D" w:rsidRDefault="00692E4D" w:rsidP="00692E4D">
            <w:pPr>
              <w:ind w:left="0" w:firstLine="0"/>
              <w:rPr>
                <w:b/>
              </w:rPr>
            </w:pPr>
            <w:r w:rsidRPr="00974240">
              <w:rPr>
                <w:b/>
              </w:rPr>
              <w:t>PICO Formatted Question:</w:t>
            </w:r>
          </w:p>
        </w:tc>
      </w:tr>
      <w:tr w:rsidR="00692E4D" w14:paraId="71AFC044" w14:textId="77777777" w:rsidTr="002E6FF2">
        <w:sdt>
          <w:sdtPr>
            <w:rPr>
              <w:b/>
            </w:rPr>
            <w:id w:val="298496509"/>
            <w:placeholder>
              <w:docPart w:val="58AC952842CD48FCA1D1B8F39F5BBACF"/>
            </w:placeholder>
          </w:sdtPr>
          <w:sdtEndPr/>
          <w:sdtContent>
            <w:tc>
              <w:tcPr>
                <w:tcW w:w="8640" w:type="dxa"/>
              </w:tcPr>
              <w:p w14:paraId="781250B9" w14:textId="48E910E1" w:rsidR="00692E4D" w:rsidRDefault="00A65D2D" w:rsidP="00692E4D">
                <w:pPr>
                  <w:ind w:left="0" w:firstLine="0"/>
                  <w:rPr>
                    <w:b/>
                  </w:rPr>
                </w:pPr>
                <w:r>
                  <w:rPr>
                    <w:b/>
                  </w:rPr>
                  <w:t xml:space="preserve">In </w:t>
                </w:r>
                <w:r w:rsidR="001B00D4">
                  <w:rPr>
                    <w:b/>
                  </w:rPr>
                  <w:t xml:space="preserve">an </w:t>
                </w:r>
                <w:r>
                  <w:rPr>
                    <w:b/>
                  </w:rPr>
                  <w:t>adult patien</w:t>
                </w:r>
                <w:r w:rsidR="00CC2023">
                  <w:rPr>
                    <w:b/>
                  </w:rPr>
                  <w:t>t</w:t>
                </w:r>
                <w:r w:rsidR="001B00D4">
                  <w:rPr>
                    <w:b/>
                  </w:rPr>
                  <w:t xml:space="preserve"> </w:t>
                </w:r>
                <w:r>
                  <w:rPr>
                    <w:b/>
                  </w:rPr>
                  <w:t xml:space="preserve">receiving a dental implant, how do relative contraindications </w:t>
                </w:r>
                <w:r w:rsidR="0080036F">
                  <w:rPr>
                    <w:b/>
                  </w:rPr>
                  <w:t>including</w:t>
                </w:r>
                <w:r>
                  <w:rPr>
                    <w:b/>
                  </w:rPr>
                  <w:t xml:space="preserve"> an infected site</w:t>
                </w:r>
                <w:r w:rsidR="0080036F">
                  <w:rPr>
                    <w:b/>
                  </w:rPr>
                  <w:t xml:space="preserve"> and diabetes</w:t>
                </w:r>
                <w:r>
                  <w:rPr>
                    <w:b/>
                  </w:rPr>
                  <w:t xml:space="preserve"> compared to no contraindications influence the survival rate?</w:t>
                </w:r>
              </w:p>
            </w:tc>
          </w:sdtContent>
        </w:sdt>
      </w:tr>
      <w:tr w:rsidR="00692E4D" w14:paraId="25579E9A" w14:textId="77777777" w:rsidTr="002E6FF2">
        <w:tc>
          <w:tcPr>
            <w:tcW w:w="8640" w:type="dxa"/>
          </w:tcPr>
          <w:p w14:paraId="7E6FE2AA" w14:textId="77777777" w:rsidR="00692E4D" w:rsidRDefault="00692E4D" w:rsidP="00692E4D">
            <w:pPr>
              <w:ind w:left="0" w:firstLine="0"/>
              <w:rPr>
                <w:b/>
              </w:rPr>
            </w:pPr>
            <w:r>
              <w:rPr>
                <w:b/>
              </w:rPr>
              <w:t>Clinical Bottom Line:</w:t>
            </w:r>
          </w:p>
        </w:tc>
      </w:tr>
      <w:tr w:rsidR="00692E4D" w14:paraId="2D6FF35E" w14:textId="77777777" w:rsidTr="002E6FF2">
        <w:sdt>
          <w:sdtPr>
            <w:rPr>
              <w:b/>
            </w:rPr>
            <w:id w:val="-510995683"/>
            <w:placeholder>
              <w:docPart w:val="12269E3C445F4AFF9F69E274B92646A1"/>
            </w:placeholder>
          </w:sdtPr>
          <w:sdtEndPr/>
          <w:sdtContent>
            <w:tc>
              <w:tcPr>
                <w:tcW w:w="8640" w:type="dxa"/>
              </w:tcPr>
              <w:p w14:paraId="5BAEC543" w14:textId="77777777" w:rsidR="00CA4B2C" w:rsidRDefault="00CA4B2C" w:rsidP="00CA4B2C">
                <w:pPr>
                  <w:ind w:left="0" w:firstLine="0"/>
                  <w:rPr>
                    <w:b/>
                  </w:rPr>
                </w:pPr>
                <w:r>
                  <w:rPr>
                    <w:b/>
                  </w:rPr>
                  <w:t>“There are no absolute contraindications to implant placement. Patients who were over age 60, smoked, had a history of diabetes, had a history of head or neck radiation, or were postmenopausal and on hormone replacement therapy experienced significantly increased implant failure compared to healthy patients.”</w:t>
                </w:r>
              </w:p>
              <w:p w14:paraId="4C8A4DD0" w14:textId="7674511F" w:rsidR="00CA4B2C" w:rsidRDefault="00CA4B2C" w:rsidP="00CA4B2C">
                <w:pPr>
                  <w:ind w:left="0" w:firstLine="0"/>
                  <w:rPr>
                    <w:b/>
                  </w:rPr>
                </w:pPr>
                <w:r>
                  <w:rPr>
                    <w:b/>
                  </w:rPr>
                  <w:t>“</w:t>
                </w:r>
                <w:r w:rsidR="00773C5C">
                  <w:rPr>
                    <w:b/>
                  </w:rPr>
                  <w:t>I</w:t>
                </w:r>
                <w:r>
                  <w:rPr>
                    <w:b/>
                  </w:rPr>
                  <w:t>mplan</w:t>
                </w:r>
                <w:r w:rsidR="00773C5C">
                  <w:rPr>
                    <w:b/>
                  </w:rPr>
                  <w:t>t</w:t>
                </w:r>
                <w:r>
                  <w:rPr>
                    <w:b/>
                  </w:rPr>
                  <w:t>s placed in peri-apical sites does not statistically influence the survival rate of the implant.”</w:t>
                </w:r>
              </w:p>
              <w:p w14:paraId="27E8CF02" w14:textId="77777777" w:rsidR="00FE6828" w:rsidRDefault="00CA4B2C" w:rsidP="00CA4B2C">
                <w:pPr>
                  <w:ind w:left="0" w:firstLine="0"/>
                  <w:rPr>
                    <w:b/>
                  </w:rPr>
                </w:pPr>
                <w:r>
                  <w:rPr>
                    <w:b/>
                  </w:rPr>
                  <w:t>“You must take a CBCT and determine if you have a good potential for building buccal bone. If not, delayed implant protocol might be considered, specifically in the aesthetic zone.”</w:t>
                </w:r>
              </w:p>
              <w:p w14:paraId="2D6C43C0" w14:textId="1C497326" w:rsidR="00692E4D" w:rsidRDefault="00FE6828" w:rsidP="00CA4B2C">
                <w:pPr>
                  <w:ind w:left="0" w:firstLine="0"/>
                  <w:rPr>
                    <w:b/>
                  </w:rPr>
                </w:pPr>
                <w:r>
                  <w:rPr>
                    <w:b/>
                  </w:rPr>
                  <w:t>“We see a decrease in survival rate for type 1 diabetics compared to control; however, no change in type 2 diabetics compared to control.”</w:t>
                </w:r>
                <w:r w:rsidR="00CA4B2C">
                  <w:rPr>
                    <w:b/>
                  </w:rPr>
                  <w:t xml:space="preserve"> </w:t>
                </w:r>
              </w:p>
            </w:tc>
          </w:sdtContent>
        </w:sdt>
      </w:tr>
      <w:tr w:rsidR="00692E4D" w14:paraId="139FDB23" w14:textId="77777777" w:rsidTr="002E6FF2">
        <w:tc>
          <w:tcPr>
            <w:tcW w:w="8640" w:type="dxa"/>
          </w:tcPr>
          <w:p w14:paraId="3AD83617" w14:textId="77777777" w:rsidR="00692E4D" w:rsidRDefault="00692E4D" w:rsidP="00692E4D">
            <w:pPr>
              <w:ind w:left="0" w:firstLine="0"/>
              <w:rPr>
                <w:b/>
              </w:rPr>
            </w:pPr>
            <w:r>
              <w:rPr>
                <w:b/>
              </w:rPr>
              <w:t xml:space="preserve">Date(s) of Search:  </w:t>
            </w:r>
          </w:p>
        </w:tc>
      </w:tr>
      <w:tr w:rsidR="00692E4D" w14:paraId="6E4F341B" w14:textId="77777777" w:rsidTr="002E6FF2">
        <w:sdt>
          <w:sdtPr>
            <w:rPr>
              <w:b/>
            </w:rPr>
            <w:id w:val="-342713550"/>
            <w:placeholder>
              <w:docPart w:val="466C71B47DF74921A6B47A58D402D919"/>
            </w:placeholder>
          </w:sdtPr>
          <w:sdtEndPr/>
          <w:sdtContent>
            <w:tc>
              <w:tcPr>
                <w:tcW w:w="8640" w:type="dxa"/>
              </w:tcPr>
              <w:p w14:paraId="76A68BD4" w14:textId="3B12CB25" w:rsidR="00692E4D" w:rsidRDefault="00A65D2D" w:rsidP="00692E4D">
                <w:pPr>
                  <w:ind w:left="0" w:firstLine="0"/>
                  <w:rPr>
                    <w:b/>
                  </w:rPr>
                </w:pPr>
                <w:r>
                  <w:rPr>
                    <w:b/>
                  </w:rPr>
                  <w:t>September 16</w:t>
                </w:r>
                <w:r w:rsidRPr="00A65D2D">
                  <w:rPr>
                    <w:b/>
                    <w:vertAlign w:val="superscript"/>
                  </w:rPr>
                  <w:t>th</w:t>
                </w:r>
                <w:r>
                  <w:rPr>
                    <w:b/>
                  </w:rPr>
                  <w:t>, 2020</w:t>
                </w:r>
              </w:p>
            </w:tc>
          </w:sdtContent>
        </w:sdt>
      </w:tr>
      <w:tr w:rsidR="00692E4D" w14:paraId="5813866C" w14:textId="77777777" w:rsidTr="002E6FF2">
        <w:tc>
          <w:tcPr>
            <w:tcW w:w="8640" w:type="dxa"/>
          </w:tcPr>
          <w:p w14:paraId="6F8EE5D1" w14:textId="77777777" w:rsidR="00692E4D" w:rsidRDefault="00692E4D" w:rsidP="00692E4D">
            <w:pPr>
              <w:ind w:left="0" w:firstLine="0"/>
              <w:rPr>
                <w:b/>
              </w:rPr>
            </w:pPr>
            <w:r w:rsidRPr="00974240">
              <w:rPr>
                <w:b/>
              </w:rPr>
              <w:t>Database(s) Used:</w:t>
            </w:r>
          </w:p>
        </w:tc>
      </w:tr>
      <w:tr w:rsidR="00692E4D" w14:paraId="53B1F1D8" w14:textId="77777777" w:rsidTr="002E6FF2">
        <w:sdt>
          <w:sdtPr>
            <w:rPr>
              <w:b/>
            </w:rPr>
            <w:id w:val="-715277583"/>
            <w:placeholder>
              <w:docPart w:val="6AB78782A9C14C6FA3D51C027BBFB25B"/>
            </w:placeholder>
          </w:sdtPr>
          <w:sdtEndPr/>
          <w:sdtContent>
            <w:tc>
              <w:tcPr>
                <w:tcW w:w="8640" w:type="dxa"/>
              </w:tcPr>
              <w:p w14:paraId="0018D50D" w14:textId="0B09E5D6" w:rsidR="00692E4D" w:rsidRPr="00974240" w:rsidRDefault="00A65D2D" w:rsidP="00692E4D">
                <w:pPr>
                  <w:ind w:left="0" w:firstLine="0"/>
                  <w:rPr>
                    <w:b/>
                  </w:rPr>
                </w:pPr>
                <w:r>
                  <w:rPr>
                    <w:b/>
                  </w:rPr>
                  <w:t>PubMed</w:t>
                </w:r>
              </w:p>
            </w:tc>
          </w:sdtContent>
        </w:sdt>
      </w:tr>
      <w:tr w:rsidR="00692E4D" w14:paraId="159605B8" w14:textId="77777777" w:rsidTr="002E6FF2">
        <w:tc>
          <w:tcPr>
            <w:tcW w:w="8640" w:type="dxa"/>
          </w:tcPr>
          <w:p w14:paraId="6C97C60E" w14:textId="77777777" w:rsidR="00692E4D" w:rsidRPr="00974240" w:rsidRDefault="00692E4D" w:rsidP="00692E4D">
            <w:pPr>
              <w:ind w:left="0" w:firstLine="0"/>
              <w:rPr>
                <w:b/>
              </w:rPr>
            </w:pPr>
            <w:r w:rsidRPr="00974240">
              <w:rPr>
                <w:b/>
              </w:rPr>
              <w:t>Search Strategy/Keywords:</w:t>
            </w:r>
          </w:p>
        </w:tc>
      </w:tr>
      <w:tr w:rsidR="00692E4D" w14:paraId="6276F803" w14:textId="77777777" w:rsidTr="002E6FF2">
        <w:sdt>
          <w:sdtPr>
            <w:rPr>
              <w:b/>
            </w:rPr>
            <w:id w:val="-231853169"/>
            <w:placeholder>
              <w:docPart w:val="1A95CA3E8ED24FABAB9FCF2456258FBC"/>
            </w:placeholder>
          </w:sdtPr>
          <w:sdtEndPr/>
          <w:sdtContent>
            <w:tc>
              <w:tcPr>
                <w:tcW w:w="8640" w:type="dxa"/>
              </w:tcPr>
              <w:p w14:paraId="3766166C" w14:textId="3F34EEC2" w:rsidR="00692E4D" w:rsidRPr="00974240" w:rsidRDefault="00A65D2D" w:rsidP="00A65D2D">
                <w:pPr>
                  <w:ind w:left="0" w:firstLine="0"/>
                  <w:rPr>
                    <w:b/>
                  </w:rPr>
                </w:pPr>
                <w:r>
                  <w:rPr>
                    <w:b/>
                  </w:rPr>
                  <w:t>Implant Placement, Dental Treatment, Peri-apical Infection</w:t>
                </w:r>
              </w:p>
            </w:tc>
          </w:sdtContent>
        </w:sdt>
      </w:tr>
      <w:tr w:rsidR="00692E4D" w14:paraId="1665FDC5" w14:textId="77777777" w:rsidTr="002E6FF2">
        <w:tc>
          <w:tcPr>
            <w:tcW w:w="8640" w:type="dxa"/>
          </w:tcPr>
          <w:p w14:paraId="09156F93" w14:textId="77777777" w:rsidR="00692E4D" w:rsidRPr="00974240" w:rsidRDefault="00692E4D" w:rsidP="00692E4D">
            <w:pPr>
              <w:ind w:left="0" w:firstLine="0"/>
              <w:rPr>
                <w:b/>
              </w:rPr>
            </w:pPr>
            <w:r>
              <w:rPr>
                <w:b/>
              </w:rPr>
              <w:t>MESH terms used:</w:t>
            </w:r>
          </w:p>
        </w:tc>
      </w:tr>
      <w:tr w:rsidR="00692E4D" w14:paraId="66F0A10A" w14:textId="77777777" w:rsidTr="002E6FF2">
        <w:sdt>
          <w:sdtPr>
            <w:rPr>
              <w:b/>
            </w:rPr>
            <w:id w:val="1890758709"/>
            <w:placeholder>
              <w:docPart w:val="7E910305951F4A7C93AA7626015B1AED"/>
            </w:placeholder>
          </w:sdtPr>
          <w:sdtEndPr/>
          <w:sdtContent>
            <w:tc>
              <w:tcPr>
                <w:tcW w:w="8640" w:type="dxa"/>
              </w:tcPr>
              <w:p w14:paraId="61C53E37" w14:textId="76C0D9F9" w:rsidR="00692E4D" w:rsidRPr="00974240" w:rsidRDefault="00A65D2D" w:rsidP="00692E4D">
                <w:pPr>
                  <w:ind w:left="0" w:firstLine="0"/>
                  <w:rPr>
                    <w:b/>
                  </w:rPr>
                </w:pPr>
                <w:r>
                  <w:rPr>
                    <w:b/>
                  </w:rPr>
                  <w:t xml:space="preserve">Implant Placement, Dental, Infection, Contraindications </w:t>
                </w:r>
              </w:p>
            </w:tc>
          </w:sdtContent>
        </w:sdt>
      </w:tr>
      <w:tr w:rsidR="00692E4D" w14:paraId="2CC64A0F" w14:textId="77777777" w:rsidTr="002E6FF2">
        <w:tc>
          <w:tcPr>
            <w:tcW w:w="8640" w:type="dxa"/>
          </w:tcPr>
          <w:p w14:paraId="385EED67" w14:textId="77777777" w:rsidR="00692E4D" w:rsidRPr="00974240" w:rsidRDefault="00692E4D" w:rsidP="00692E4D">
            <w:pPr>
              <w:ind w:left="0" w:firstLine="0"/>
              <w:rPr>
                <w:b/>
              </w:rPr>
            </w:pPr>
            <w:r w:rsidRPr="00974240">
              <w:rPr>
                <w:b/>
              </w:rPr>
              <w:t>Article(s) Cited:</w:t>
            </w:r>
          </w:p>
        </w:tc>
      </w:tr>
      <w:tr w:rsidR="00692E4D" w14:paraId="6A88D202" w14:textId="77777777" w:rsidTr="002E6FF2">
        <w:sdt>
          <w:sdtPr>
            <w:rPr>
              <w:b/>
            </w:rPr>
            <w:id w:val="-938752678"/>
            <w:placeholder>
              <w:docPart w:val="E8F2534F808F4ECBB4F5D259E7F4B4F2"/>
            </w:placeholder>
          </w:sdtPr>
          <w:sdtEndPr/>
          <w:sdtContent>
            <w:tc>
              <w:tcPr>
                <w:tcW w:w="8640" w:type="dxa"/>
              </w:tcPr>
              <w:p w14:paraId="7A83341E" w14:textId="77777777" w:rsidR="00073FF5" w:rsidRDefault="00073FF5" w:rsidP="00073FF5">
                <w:pPr>
                  <w:pStyle w:val="NormalWeb"/>
                  <w:ind w:left="567" w:hanging="567"/>
                  <w:rPr>
                    <w:color w:val="000000"/>
                  </w:rPr>
                </w:pPr>
                <w:proofErr w:type="spellStart"/>
                <w:r>
                  <w:rPr>
                    <w:color w:val="000000"/>
                  </w:rPr>
                  <w:t>Ausra</w:t>
                </w:r>
                <w:proofErr w:type="spellEnd"/>
                <w:r>
                  <w:rPr>
                    <w:color w:val="000000"/>
                  </w:rPr>
                  <w:t xml:space="preserve">, R., &amp; Schwarz, F. (2019). The dimensions of the facial alveolar bone at tooth sites with local pathologies- A cone-beam CT analysis. </w:t>
                </w:r>
                <w:proofErr w:type="gramStart"/>
                <w:r>
                  <w:rPr>
                    <w:color w:val="000000"/>
                  </w:rPr>
                  <w:t>doi:10.26226/morressier.5d3880b73ceb062ea26e4d4a</w:t>
                </w:r>
                <w:proofErr w:type="gramEnd"/>
              </w:p>
              <w:p w14:paraId="167354B8" w14:textId="77777777" w:rsidR="00073FF5" w:rsidRDefault="00073FF5" w:rsidP="00073FF5">
                <w:pPr>
                  <w:pStyle w:val="NormalWeb"/>
                  <w:ind w:left="567" w:hanging="567"/>
                  <w:rPr>
                    <w:color w:val="000000"/>
                  </w:rPr>
                </w:pPr>
                <w:proofErr w:type="spellStart"/>
                <w:r>
                  <w:rPr>
                    <w:color w:val="000000"/>
                  </w:rPr>
                  <w:t>Chrcanovic</w:t>
                </w:r>
                <w:proofErr w:type="spellEnd"/>
                <w:r>
                  <w:rPr>
                    <w:color w:val="000000"/>
                  </w:rPr>
                  <w:t xml:space="preserve">, B. R., Martins, M. D., &amp; </w:t>
                </w:r>
                <w:proofErr w:type="spellStart"/>
                <w:r>
                  <w:rPr>
                    <w:color w:val="000000"/>
                  </w:rPr>
                  <w:t>Wennerberg</w:t>
                </w:r>
                <w:proofErr w:type="spellEnd"/>
                <w:r>
                  <w:rPr>
                    <w:color w:val="000000"/>
                  </w:rPr>
                  <w:t>, A. (2013). Immediate Placement of Implants into Infected Sites: A Systematic Review.</w:t>
                </w:r>
                <w:r>
                  <w:rPr>
                    <w:rStyle w:val="apple-converted-space"/>
                    <w:color w:val="000000"/>
                  </w:rPr>
                  <w:t> </w:t>
                </w:r>
                <w:r>
                  <w:rPr>
                    <w:i/>
                    <w:iCs/>
                    <w:color w:val="000000"/>
                  </w:rPr>
                  <w:t>Clinical Implant Dentistry and Related Research,</w:t>
                </w:r>
                <w:r>
                  <w:rPr>
                    <w:rStyle w:val="apple-converted-space"/>
                    <w:color w:val="000000"/>
                  </w:rPr>
                  <w:t> </w:t>
                </w:r>
                <w:r>
                  <w:rPr>
                    <w:i/>
                    <w:iCs/>
                    <w:color w:val="000000"/>
                  </w:rPr>
                  <w:t>17</w:t>
                </w:r>
                <w:r>
                  <w:rPr>
                    <w:color w:val="000000"/>
                  </w:rPr>
                  <w:t>. doi:10.1111/cid.12098</w:t>
                </w:r>
              </w:p>
              <w:p w14:paraId="688D355E" w14:textId="77777777" w:rsidR="00FE6828" w:rsidRDefault="00073FF5" w:rsidP="00073FF5">
                <w:pPr>
                  <w:pStyle w:val="NormalWeb"/>
                  <w:ind w:left="567" w:hanging="567"/>
                  <w:rPr>
                    <w:color w:val="000000"/>
                  </w:rPr>
                </w:pPr>
                <w:proofErr w:type="spellStart"/>
                <w:r>
                  <w:rPr>
                    <w:color w:val="000000"/>
                  </w:rPr>
                  <w:t>Lindeboom</w:t>
                </w:r>
                <w:proofErr w:type="spellEnd"/>
                <w:r>
                  <w:rPr>
                    <w:color w:val="000000"/>
                  </w:rPr>
                  <w:t xml:space="preserve">, J. A., </w:t>
                </w:r>
                <w:proofErr w:type="spellStart"/>
                <w:r>
                  <w:rPr>
                    <w:color w:val="000000"/>
                  </w:rPr>
                  <w:t>Tjiook</w:t>
                </w:r>
                <w:proofErr w:type="spellEnd"/>
                <w:r>
                  <w:rPr>
                    <w:color w:val="000000"/>
                  </w:rPr>
                  <w:t>, Y., &amp; Kroon, F. H. (2006). Immediate placement of implants in periapical infected sites: A prospective randomized study in 50 patients.</w:t>
                </w:r>
                <w:r>
                  <w:rPr>
                    <w:rStyle w:val="apple-converted-space"/>
                    <w:color w:val="000000"/>
                  </w:rPr>
                  <w:t> </w:t>
                </w:r>
                <w:r>
                  <w:rPr>
                    <w:i/>
                    <w:iCs/>
                    <w:color w:val="000000"/>
                  </w:rPr>
                  <w:t>Oral Surgery, Oral Medicine, Oral Pathology, Oral Radiology, and Endodontology,</w:t>
                </w:r>
                <w:r>
                  <w:rPr>
                    <w:rStyle w:val="apple-converted-space"/>
                    <w:color w:val="000000"/>
                  </w:rPr>
                  <w:t> </w:t>
                </w:r>
                <w:r>
                  <w:rPr>
                    <w:i/>
                    <w:iCs/>
                    <w:color w:val="000000"/>
                  </w:rPr>
                  <w:t>101</w:t>
                </w:r>
                <w:r>
                  <w:rPr>
                    <w:color w:val="000000"/>
                  </w:rPr>
                  <w:t xml:space="preserve">(6), 705-710. </w:t>
                </w:r>
                <w:proofErr w:type="gramStart"/>
                <w:r>
                  <w:rPr>
                    <w:color w:val="000000"/>
                  </w:rPr>
                  <w:t>doi:10.1016/j.tripleo</w:t>
                </w:r>
                <w:proofErr w:type="gramEnd"/>
                <w:r>
                  <w:rPr>
                    <w:color w:val="000000"/>
                  </w:rPr>
                  <w:t>.2005.08.022</w:t>
                </w:r>
              </w:p>
              <w:p w14:paraId="4E13D96C" w14:textId="60793EDA" w:rsidR="00692E4D" w:rsidRPr="00073FF5" w:rsidRDefault="00FE6828" w:rsidP="00FE6828">
                <w:pPr>
                  <w:pStyle w:val="NormalWeb"/>
                  <w:ind w:left="567" w:hanging="567"/>
                  <w:rPr>
                    <w:color w:val="000000"/>
                  </w:rPr>
                </w:pPr>
                <w:r>
                  <w:rPr>
                    <w:color w:val="000000"/>
                  </w:rPr>
                  <w:t xml:space="preserve">Tawil, G., </w:t>
                </w:r>
                <w:proofErr w:type="spellStart"/>
                <w:r>
                  <w:rPr>
                    <w:color w:val="000000"/>
                  </w:rPr>
                  <w:t>Younan</w:t>
                </w:r>
                <w:proofErr w:type="spellEnd"/>
                <w:r>
                  <w:rPr>
                    <w:color w:val="000000"/>
                  </w:rPr>
                  <w:t xml:space="preserve">, R., Azar, P., &amp; </w:t>
                </w:r>
                <w:proofErr w:type="spellStart"/>
                <w:r>
                  <w:rPr>
                    <w:color w:val="000000"/>
                  </w:rPr>
                  <w:t>Sleilati</w:t>
                </w:r>
                <w:proofErr w:type="spellEnd"/>
                <w:r>
                  <w:rPr>
                    <w:color w:val="000000"/>
                  </w:rPr>
                  <w:t>, G. (</w:t>
                </w:r>
                <w:proofErr w:type="spellStart"/>
                <w:r>
                  <w:rPr>
                    <w:color w:val="000000"/>
                  </w:rPr>
                  <w:t>jul-aug</w:t>
                </w:r>
                <w:proofErr w:type="spellEnd"/>
                <w:r>
                  <w:rPr>
                    <w:color w:val="000000"/>
                  </w:rPr>
                  <w:t xml:space="preserve"> 2008). Conventional and advanced implant treatment in the type II diabetic patient: Surgical protocol and long-term clinical results.</w:t>
                </w:r>
                <w:r>
                  <w:rPr>
                    <w:rStyle w:val="apple-converted-space"/>
                    <w:color w:val="000000"/>
                  </w:rPr>
                  <w:t> </w:t>
                </w:r>
                <w:r>
                  <w:rPr>
                    <w:i/>
                    <w:iCs/>
                    <w:color w:val="000000"/>
                  </w:rPr>
                  <w:t xml:space="preserve">Int J Oral </w:t>
                </w:r>
                <w:proofErr w:type="spellStart"/>
                <w:r>
                  <w:rPr>
                    <w:i/>
                    <w:iCs/>
                    <w:color w:val="000000"/>
                  </w:rPr>
                  <w:t>Maxillofac</w:t>
                </w:r>
                <w:proofErr w:type="spellEnd"/>
                <w:r>
                  <w:rPr>
                    <w:i/>
                    <w:iCs/>
                    <w:color w:val="000000"/>
                  </w:rPr>
                  <w:t xml:space="preserve"> Implants,</w:t>
                </w:r>
                <w:r>
                  <w:rPr>
                    <w:rStyle w:val="apple-converted-space"/>
                    <w:color w:val="000000"/>
                  </w:rPr>
                  <w:t> </w:t>
                </w:r>
                <w:r>
                  <w:rPr>
                    <w:i/>
                    <w:iCs/>
                    <w:color w:val="000000"/>
                  </w:rPr>
                  <w:t>23</w:t>
                </w:r>
                <w:r>
                  <w:rPr>
                    <w:color w:val="000000"/>
                  </w:rPr>
                  <w:t>(4), 744-752.</w:t>
                </w:r>
              </w:p>
            </w:tc>
          </w:sdtContent>
        </w:sdt>
      </w:tr>
      <w:tr w:rsidR="00692E4D" w14:paraId="3C235865" w14:textId="77777777" w:rsidTr="002E6FF2">
        <w:tc>
          <w:tcPr>
            <w:tcW w:w="8640" w:type="dxa"/>
          </w:tcPr>
          <w:p w14:paraId="1DED8566" w14:textId="77777777" w:rsidR="00692E4D" w:rsidRPr="00974240" w:rsidRDefault="00692E4D" w:rsidP="00692E4D">
            <w:pPr>
              <w:ind w:left="0" w:firstLine="0"/>
              <w:rPr>
                <w:b/>
              </w:rPr>
            </w:pPr>
            <w:r w:rsidRPr="006A2AEF">
              <w:rPr>
                <w:b/>
              </w:rPr>
              <w:t>Study Design(s):</w:t>
            </w:r>
          </w:p>
        </w:tc>
      </w:tr>
      <w:tr w:rsidR="00692E4D" w14:paraId="1423CECE" w14:textId="77777777" w:rsidTr="002E6FF2">
        <w:sdt>
          <w:sdtPr>
            <w:rPr>
              <w:b/>
            </w:rPr>
            <w:id w:val="196748513"/>
            <w:placeholder>
              <w:docPart w:val="205A1B0B443B417CA1D395AFAABA1971"/>
            </w:placeholder>
          </w:sdtPr>
          <w:sdtEndPr/>
          <w:sdtContent>
            <w:tc>
              <w:tcPr>
                <w:tcW w:w="8640" w:type="dxa"/>
              </w:tcPr>
              <w:p w14:paraId="46544EF0" w14:textId="004A3FAD" w:rsidR="00073FF5" w:rsidRDefault="00073FF5" w:rsidP="00692E4D">
                <w:pPr>
                  <w:ind w:left="0" w:firstLine="0"/>
                  <w:rPr>
                    <w:b/>
                  </w:rPr>
                </w:pPr>
                <w:proofErr w:type="spellStart"/>
                <w:r>
                  <w:rPr>
                    <w:b/>
                  </w:rPr>
                  <w:t>Lindeboom</w:t>
                </w:r>
                <w:proofErr w:type="spellEnd"/>
                <w:r>
                  <w:rPr>
                    <w:b/>
                  </w:rPr>
                  <w:t xml:space="preserve"> 2006 – Individual Randomized Controlled Trial</w:t>
                </w:r>
              </w:p>
              <w:p w14:paraId="734CB6C3" w14:textId="610C45F5" w:rsidR="00073FF5" w:rsidRDefault="00073FF5" w:rsidP="00692E4D">
                <w:pPr>
                  <w:ind w:left="0" w:firstLine="0"/>
                  <w:rPr>
                    <w:b/>
                  </w:rPr>
                </w:pPr>
                <w:proofErr w:type="spellStart"/>
                <w:r>
                  <w:rPr>
                    <w:b/>
                  </w:rPr>
                  <w:t>Chrcanovic</w:t>
                </w:r>
                <w:proofErr w:type="spellEnd"/>
                <w:r>
                  <w:rPr>
                    <w:b/>
                  </w:rPr>
                  <w:t xml:space="preserve"> 2013 – Systemic Review </w:t>
                </w:r>
              </w:p>
              <w:p w14:paraId="01651EF3" w14:textId="77777777" w:rsidR="00FE6828" w:rsidRDefault="00073FF5" w:rsidP="00692E4D">
                <w:pPr>
                  <w:ind w:left="0" w:firstLine="0"/>
                  <w:rPr>
                    <w:b/>
                  </w:rPr>
                </w:pPr>
                <w:proofErr w:type="spellStart"/>
                <w:r>
                  <w:rPr>
                    <w:b/>
                  </w:rPr>
                  <w:t>Ausra</w:t>
                </w:r>
                <w:proofErr w:type="spellEnd"/>
                <w:r>
                  <w:rPr>
                    <w:b/>
                  </w:rPr>
                  <w:t xml:space="preserve"> 2019 – Individual Randomized Controlled Trial</w:t>
                </w:r>
              </w:p>
              <w:p w14:paraId="3302F954" w14:textId="6C45508A" w:rsidR="00692E4D" w:rsidRPr="006A2AEF" w:rsidRDefault="00FE6828" w:rsidP="00692E4D">
                <w:pPr>
                  <w:ind w:left="0" w:firstLine="0"/>
                  <w:rPr>
                    <w:b/>
                  </w:rPr>
                </w:pPr>
                <w:r>
                  <w:rPr>
                    <w:b/>
                  </w:rPr>
                  <w:t xml:space="preserve">Tawil 2008 – </w:t>
                </w:r>
                <w:proofErr w:type="spellStart"/>
                <w:r>
                  <w:rPr>
                    <w:b/>
                  </w:rPr>
                  <w:t>Individula</w:t>
                </w:r>
                <w:proofErr w:type="spellEnd"/>
                <w:r>
                  <w:rPr>
                    <w:b/>
                  </w:rPr>
                  <w:t xml:space="preserve"> Randomized Controlled Trial </w:t>
                </w:r>
              </w:p>
            </w:tc>
          </w:sdtContent>
        </w:sdt>
      </w:tr>
      <w:tr w:rsidR="00692E4D" w14:paraId="63724F3B" w14:textId="77777777" w:rsidTr="002E6FF2">
        <w:tc>
          <w:tcPr>
            <w:tcW w:w="8640" w:type="dxa"/>
          </w:tcPr>
          <w:p w14:paraId="3CC16CA8" w14:textId="77777777" w:rsidR="00692E4D" w:rsidRPr="006A2AEF" w:rsidRDefault="00692E4D" w:rsidP="002972EE">
            <w:pPr>
              <w:ind w:left="0" w:firstLine="0"/>
              <w:rPr>
                <w:b/>
              </w:rPr>
            </w:pPr>
            <w:r w:rsidRPr="00974240">
              <w:rPr>
                <w:b/>
              </w:rPr>
              <w:t>Reason for Article Selection:</w:t>
            </w:r>
          </w:p>
        </w:tc>
      </w:tr>
      <w:tr w:rsidR="00692E4D" w14:paraId="18ACF0ED" w14:textId="77777777" w:rsidTr="002E6FF2">
        <w:sdt>
          <w:sdtPr>
            <w:rPr>
              <w:b/>
            </w:rPr>
            <w:id w:val="-1249580699"/>
            <w:placeholder>
              <w:docPart w:val="DDFEF09BC79B45F4875E7842D1533882"/>
            </w:placeholder>
          </w:sdtPr>
          <w:sdtEndPr/>
          <w:sdtContent>
            <w:tc>
              <w:tcPr>
                <w:tcW w:w="8640" w:type="dxa"/>
              </w:tcPr>
              <w:p w14:paraId="5A8A77C8" w14:textId="604FB573" w:rsidR="00073FF5" w:rsidRDefault="00073FF5" w:rsidP="00692E4D">
                <w:pPr>
                  <w:ind w:left="0" w:firstLine="0"/>
                  <w:rPr>
                    <w:b/>
                  </w:rPr>
                </w:pPr>
                <w:proofErr w:type="spellStart"/>
                <w:r>
                  <w:rPr>
                    <w:b/>
                  </w:rPr>
                  <w:t>Lindeboom</w:t>
                </w:r>
                <w:proofErr w:type="spellEnd"/>
                <w:r>
                  <w:rPr>
                    <w:b/>
                  </w:rPr>
                  <w:t xml:space="preserve"> 2006</w:t>
                </w:r>
                <w:r w:rsidRPr="00073FF5">
                  <w:rPr>
                    <w:b/>
                  </w:rPr>
                  <w:t xml:space="preserve"> determine</w:t>
                </w:r>
                <w:r>
                  <w:rPr>
                    <w:b/>
                  </w:rPr>
                  <w:t>d</w:t>
                </w:r>
                <w:r w:rsidRPr="00073FF5">
                  <w:rPr>
                    <w:b/>
                  </w:rPr>
                  <w:t xml:space="preserve"> clinical success when implants are placed in periapical infected sites.</w:t>
                </w:r>
              </w:p>
              <w:p w14:paraId="64692FDA" w14:textId="77777777" w:rsidR="00073FF5" w:rsidRDefault="00073FF5" w:rsidP="00692E4D">
                <w:pPr>
                  <w:ind w:left="0" w:firstLine="0"/>
                  <w:rPr>
                    <w:b/>
                  </w:rPr>
                </w:pPr>
                <w:proofErr w:type="spellStart"/>
                <w:r>
                  <w:rPr>
                    <w:b/>
                  </w:rPr>
                  <w:t>Chrcanovic</w:t>
                </w:r>
                <w:proofErr w:type="spellEnd"/>
                <w:r>
                  <w:rPr>
                    <w:b/>
                  </w:rPr>
                  <w:t xml:space="preserve"> 2013 </w:t>
                </w:r>
                <w:r w:rsidRPr="00073FF5">
                  <w:rPr>
                    <w:b/>
                  </w:rPr>
                  <w:t>review</w:t>
                </w:r>
                <w:r>
                  <w:rPr>
                    <w:b/>
                  </w:rPr>
                  <w:t>ed</w:t>
                </w:r>
                <w:r w:rsidRPr="00073FF5">
                  <w:rPr>
                    <w:b/>
                  </w:rPr>
                  <w:t xml:space="preserve"> the literature regarding treatment outcomes of immediate implant placement into sites exhibiting pathology after clinical procedures to perform the decontamination of the implant’s site.</w:t>
                </w:r>
              </w:p>
              <w:p w14:paraId="5363C979" w14:textId="77777777" w:rsidR="00FE6828" w:rsidRDefault="00073FF5" w:rsidP="00692E4D">
                <w:pPr>
                  <w:ind w:left="0" w:firstLine="0"/>
                  <w:rPr>
                    <w:b/>
                  </w:rPr>
                </w:pPr>
                <w:proofErr w:type="spellStart"/>
                <w:r>
                  <w:rPr>
                    <w:b/>
                  </w:rPr>
                  <w:t>Ausra</w:t>
                </w:r>
                <w:proofErr w:type="spellEnd"/>
                <w:r>
                  <w:rPr>
                    <w:b/>
                  </w:rPr>
                  <w:t xml:space="preserve"> 2019 assessed the impact of various local pathologies on facial alveolar bone dimensions at tooth sites.</w:t>
                </w:r>
              </w:p>
              <w:p w14:paraId="33568159" w14:textId="678D0500" w:rsidR="00692E4D" w:rsidRPr="006A2AEF" w:rsidRDefault="00FE6828" w:rsidP="00692E4D">
                <w:pPr>
                  <w:ind w:left="0" w:firstLine="0"/>
                  <w:rPr>
                    <w:b/>
                  </w:rPr>
                </w:pPr>
                <w:r>
                  <w:rPr>
                    <w:b/>
                  </w:rPr>
                  <w:t>Tawil 2008 investigated the effect of type-2 diabetes on implant survival and complication rate.</w:t>
                </w:r>
              </w:p>
            </w:tc>
          </w:sdtContent>
        </w:sdt>
      </w:tr>
      <w:tr w:rsidR="00692E4D" w14:paraId="428F6FA4" w14:textId="77777777" w:rsidTr="002E6FF2">
        <w:tc>
          <w:tcPr>
            <w:tcW w:w="8640" w:type="dxa"/>
          </w:tcPr>
          <w:p w14:paraId="3DA3736A" w14:textId="77777777" w:rsidR="00692E4D" w:rsidRPr="006A2AEF" w:rsidRDefault="00692E4D" w:rsidP="00692E4D">
            <w:pPr>
              <w:ind w:left="0" w:firstLine="0"/>
              <w:rPr>
                <w:b/>
              </w:rPr>
            </w:pPr>
            <w:r w:rsidRPr="00974240">
              <w:rPr>
                <w:b/>
              </w:rPr>
              <w:t>Article(s) Synopsis:</w:t>
            </w:r>
          </w:p>
        </w:tc>
      </w:tr>
      <w:tr w:rsidR="00692E4D" w14:paraId="7E8B9981" w14:textId="77777777" w:rsidTr="002E6FF2">
        <w:sdt>
          <w:sdtPr>
            <w:rPr>
              <w:b/>
            </w:rPr>
            <w:id w:val="-1273706365"/>
            <w:placeholder>
              <w:docPart w:val="CD5085E3943545F0974FA7B375EE1726"/>
            </w:placeholder>
          </w:sdtPr>
          <w:sdtEndPr/>
          <w:sdtContent>
            <w:tc>
              <w:tcPr>
                <w:tcW w:w="8640" w:type="dxa"/>
              </w:tcPr>
              <w:p w14:paraId="1C03F3B8" w14:textId="2AE145FA" w:rsidR="00073FF5" w:rsidRDefault="00073FF5" w:rsidP="00073FF5">
                <w:pPr>
                  <w:rPr>
                    <w:b/>
                  </w:rPr>
                </w:pPr>
                <w:proofErr w:type="spellStart"/>
                <w:r>
                  <w:rPr>
                    <w:b/>
                  </w:rPr>
                  <w:t>Lindeboom</w:t>
                </w:r>
                <w:proofErr w:type="spellEnd"/>
                <w:r>
                  <w:rPr>
                    <w:b/>
                  </w:rPr>
                  <w:t xml:space="preserve"> 2006 – </w:t>
                </w:r>
              </w:p>
              <w:p w14:paraId="55E88FB2" w14:textId="76E721AD" w:rsidR="00073FF5" w:rsidRPr="00073FF5" w:rsidRDefault="00073FF5" w:rsidP="00073FF5">
                <w:pPr>
                  <w:rPr>
                    <w:b/>
                  </w:rPr>
                </w:pPr>
                <w:r w:rsidRPr="00073FF5">
                  <w:rPr>
                    <w:b/>
                    <w:bCs/>
                  </w:rPr>
                  <w:t xml:space="preserve">Method: </w:t>
                </w:r>
                <w:r w:rsidRPr="00073FF5">
                  <w:rPr>
                    <w:b/>
                  </w:rPr>
                  <w:t xml:space="preserve">Fifty patients were </w:t>
                </w:r>
                <w:proofErr w:type="gramStart"/>
                <w:r w:rsidRPr="00073FF5">
                  <w:rPr>
                    <w:b/>
                  </w:rPr>
                  <w:t>randomized</w:t>
                </w:r>
                <w:proofErr w:type="gramEnd"/>
                <w:r w:rsidRPr="00073FF5">
                  <w:rPr>
                    <w:b/>
                  </w:rPr>
                  <w:t xml:space="preserve"> and 25 implants were immediately placed after extraction, and 25 implants were placed after 3 month healing period. 32 implants were placed in the anterior maxilla and 18 implants were placed in the premolar region. </w:t>
                </w:r>
                <w:proofErr w:type="gramStart"/>
                <w:r w:rsidRPr="00073FF5">
                  <w:rPr>
                    <w:b/>
                  </w:rPr>
                  <w:t>Implant survival,</w:t>
                </w:r>
                <w:proofErr w:type="gramEnd"/>
                <w:r w:rsidRPr="00073FF5">
                  <w:rPr>
                    <w:b/>
                  </w:rPr>
                  <w:t xml:space="preserve"> mean Implant Stability Quotient (ISQ) values, gingival aesthetics, radiographic bone loss, and microbiologic characteristics of periapical lesions were evaluated for both groups. </w:t>
                </w:r>
              </w:p>
              <w:p w14:paraId="3C3988CB" w14:textId="77777777" w:rsidR="00073FF5" w:rsidRPr="00073FF5" w:rsidRDefault="00073FF5" w:rsidP="00073FF5">
                <w:pPr>
                  <w:rPr>
                    <w:b/>
                  </w:rPr>
                </w:pPr>
                <w:r w:rsidRPr="00073FF5">
                  <w:rPr>
                    <w:b/>
                    <w:bCs/>
                  </w:rPr>
                  <w:lastRenderedPageBreak/>
                  <w:t xml:space="preserve">Results: </w:t>
                </w:r>
                <w:r w:rsidRPr="00073FF5">
                  <w:rPr>
                    <w:b/>
                  </w:rPr>
                  <w:t xml:space="preserve">2 implants in the immediate placement group were lost (92% survival rate) and 0 implants in the 3-month healing period were lost (100% survival rate). Mean ISQ, gingival aesthetics and radiographic bone resorption, and periapical cultures were all not significantly different with the immediate placement and 3-month healing period implants. </w:t>
                </w:r>
              </w:p>
              <w:p w14:paraId="06419C0E" w14:textId="79551B3E" w:rsidR="00073FF5" w:rsidRDefault="00073FF5" w:rsidP="00073FF5">
                <w:pPr>
                  <w:rPr>
                    <w:b/>
                  </w:rPr>
                </w:pPr>
                <w:r w:rsidRPr="00073FF5">
                  <w:rPr>
                    <w:b/>
                    <w:bCs/>
                  </w:rPr>
                  <w:t xml:space="preserve">Conclusion: </w:t>
                </w:r>
                <w:r w:rsidRPr="00073FF5">
                  <w:rPr>
                    <w:b/>
                  </w:rPr>
                  <w:t>Slightly lower survival rate in implants placed in periapical infected sites for immediate placement; however, this was not a statistically significant difference. However, we may want to consider delayed implant protocol in the aesthetic zone due to recession at the level of the mid-buccal gingiva.</w:t>
                </w:r>
              </w:p>
              <w:p w14:paraId="51031E25" w14:textId="0A3AE5F9" w:rsidR="00073FF5" w:rsidRDefault="00073FF5" w:rsidP="00073FF5">
                <w:pPr>
                  <w:rPr>
                    <w:b/>
                  </w:rPr>
                </w:pPr>
              </w:p>
              <w:p w14:paraId="10954771" w14:textId="45812766" w:rsidR="00073FF5" w:rsidRDefault="00073FF5" w:rsidP="00073FF5">
                <w:pPr>
                  <w:rPr>
                    <w:b/>
                  </w:rPr>
                </w:pPr>
                <w:proofErr w:type="spellStart"/>
                <w:r>
                  <w:rPr>
                    <w:b/>
                  </w:rPr>
                  <w:t>Chrcanovic</w:t>
                </w:r>
                <w:proofErr w:type="spellEnd"/>
                <w:r>
                  <w:rPr>
                    <w:b/>
                  </w:rPr>
                  <w:t xml:space="preserve"> 2013 – </w:t>
                </w:r>
              </w:p>
              <w:p w14:paraId="3FEED081" w14:textId="77777777" w:rsidR="00073FF5" w:rsidRPr="00073FF5" w:rsidRDefault="00073FF5" w:rsidP="00073FF5">
                <w:pPr>
                  <w:rPr>
                    <w:b/>
                  </w:rPr>
                </w:pPr>
                <w:r w:rsidRPr="00073FF5">
                  <w:rPr>
                    <w:b/>
                    <w:bCs/>
                  </w:rPr>
                  <w:t xml:space="preserve">Methods: </w:t>
                </w:r>
                <w:r w:rsidRPr="00073FF5">
                  <w:rPr>
                    <w:b/>
                  </w:rPr>
                  <w:t xml:space="preserve">Electronic search in PubMed was performed. The titles and abstracts from these results were read to identify studies within the selection criteria. The publication's intervention had to have been implant placement into a site classified as having an infection. </w:t>
                </w:r>
              </w:p>
              <w:p w14:paraId="118A0410" w14:textId="77777777" w:rsidR="00073FF5" w:rsidRPr="00073FF5" w:rsidRDefault="00073FF5" w:rsidP="00073FF5">
                <w:pPr>
                  <w:rPr>
                    <w:b/>
                  </w:rPr>
                </w:pPr>
                <w:r w:rsidRPr="00073FF5">
                  <w:rPr>
                    <w:b/>
                    <w:bCs/>
                  </w:rPr>
                  <w:t xml:space="preserve">Results: </w:t>
                </w:r>
                <w:r w:rsidRPr="00073FF5">
                  <w:rPr>
                    <w:b/>
                  </w:rPr>
                  <w:t>The study search had 706 references with 32 in the selection criteria. Of these 32, nine were case reports and review articles which were excluded. Additional hand-searching of reference lists yielded five more papers. A total of 25 papers were used.</w:t>
                </w:r>
              </w:p>
              <w:p w14:paraId="76CA8E2F" w14:textId="647B3F23" w:rsidR="00073FF5" w:rsidRDefault="00073FF5" w:rsidP="00073FF5">
                <w:pPr>
                  <w:rPr>
                    <w:b/>
                  </w:rPr>
                </w:pPr>
                <w:r w:rsidRPr="00073FF5">
                  <w:rPr>
                    <w:b/>
                    <w:bCs/>
                  </w:rPr>
                  <w:t xml:space="preserve">Conclusion: </w:t>
                </w:r>
                <w:r w:rsidRPr="00073FF5">
                  <w:rPr>
                    <w:b/>
                  </w:rPr>
                  <w:t xml:space="preserve">High survival rates obtained in several studied supports that implants may be successfully </w:t>
                </w:r>
                <w:proofErr w:type="spellStart"/>
                <w:r w:rsidRPr="00073FF5">
                  <w:rPr>
                    <w:b/>
                  </w:rPr>
                  <w:t>osseointegrated</w:t>
                </w:r>
                <w:proofErr w:type="spellEnd"/>
                <w:r w:rsidRPr="00073FF5">
                  <w:rPr>
                    <w:b/>
                  </w:rPr>
                  <w:t xml:space="preserve"> when placed immediately after extraction of teeth presenting endodontic and periodontic lesions with proper surgical procedure. Issues included vague classification of the infection (periapical, endodontic, </w:t>
                </w:r>
                <w:proofErr w:type="spellStart"/>
                <w:r w:rsidRPr="00073FF5">
                  <w:rPr>
                    <w:b/>
                  </w:rPr>
                  <w:t>perioendodontic</w:t>
                </w:r>
                <w:proofErr w:type="spellEnd"/>
                <w:r w:rsidRPr="00073FF5">
                  <w:rPr>
                    <w:b/>
                  </w:rPr>
                  <w:t>, and periodontal) as well as a longer follow-up for confirmation.</w:t>
                </w:r>
              </w:p>
              <w:p w14:paraId="6732012C" w14:textId="0463DE90" w:rsidR="00073FF5" w:rsidRDefault="00073FF5" w:rsidP="00073FF5">
                <w:pPr>
                  <w:rPr>
                    <w:b/>
                  </w:rPr>
                </w:pPr>
              </w:p>
              <w:p w14:paraId="065DEB2B" w14:textId="030DBD5E" w:rsidR="00073FF5" w:rsidRDefault="00073FF5" w:rsidP="00073FF5">
                <w:pPr>
                  <w:rPr>
                    <w:b/>
                  </w:rPr>
                </w:pPr>
                <w:proofErr w:type="spellStart"/>
                <w:r>
                  <w:rPr>
                    <w:b/>
                  </w:rPr>
                  <w:t>Ausra</w:t>
                </w:r>
                <w:proofErr w:type="spellEnd"/>
                <w:r>
                  <w:rPr>
                    <w:b/>
                  </w:rPr>
                  <w:t xml:space="preserve"> 2019 – </w:t>
                </w:r>
              </w:p>
              <w:p w14:paraId="78F109A5" w14:textId="77777777" w:rsidR="00073FF5" w:rsidRPr="00073FF5" w:rsidRDefault="00073FF5" w:rsidP="00073FF5">
                <w:pPr>
                  <w:rPr>
                    <w:b/>
                  </w:rPr>
                </w:pPr>
                <w:r w:rsidRPr="00073FF5">
                  <w:rPr>
                    <w:b/>
                    <w:bCs/>
                  </w:rPr>
                  <w:t xml:space="preserve">Method: </w:t>
                </w:r>
                <w:r w:rsidRPr="00073FF5">
                  <w:rPr>
                    <w:b/>
                  </w:rPr>
                  <w:t xml:space="preserve">Con-beam images of 60 patients were analyzed. Healthy teeth and teeth with local pathologies (endo, periodontally diseased, and teeth with PA lesions) were included. The thickness of facial alveolar bone was measure at the bone crest as well as 25%, 50%, and 75% from the distance of the bone crest to the root apex. </w:t>
                </w:r>
              </w:p>
              <w:p w14:paraId="2FE01D75" w14:textId="77777777" w:rsidR="00073FF5" w:rsidRPr="00073FF5" w:rsidRDefault="00073FF5" w:rsidP="00073FF5">
                <w:pPr>
                  <w:rPr>
                    <w:b/>
                  </w:rPr>
                </w:pPr>
                <w:r w:rsidRPr="00073FF5">
                  <w:rPr>
                    <w:b/>
                    <w:bCs/>
                  </w:rPr>
                  <w:t xml:space="preserve">Results: </w:t>
                </w:r>
                <w:r w:rsidRPr="00073FF5">
                  <w:rPr>
                    <w:b/>
                  </w:rPr>
                  <w:t>1174 teeth were assessed. Periodontally diseased maxillary premolars and anterior teeth in the mandible at the bone crest, as well as maxillary molars at 25% distance from the bone crest to the root apex had lower facial bone thickness when compared to healthy teeth. One contrast to the hypothesis was mandibular diseased anterior teeth 50% from the bone crest to the root apex had a thicker bone wall.</w:t>
                </w:r>
              </w:p>
              <w:p w14:paraId="007CDD7C" w14:textId="77777777" w:rsidR="00FE6828" w:rsidRDefault="00073FF5" w:rsidP="00073FF5">
                <w:pPr>
                  <w:rPr>
                    <w:b/>
                  </w:rPr>
                </w:pPr>
                <w:r w:rsidRPr="00073FF5">
                  <w:rPr>
                    <w:b/>
                    <w:bCs/>
                  </w:rPr>
                  <w:t xml:space="preserve">Conclusions: </w:t>
                </w:r>
                <w:r w:rsidRPr="00073FF5">
                  <w:rPr>
                    <w:b/>
                  </w:rPr>
                  <w:t xml:space="preserve"> Overall the results were statistically significant that local pathologies are commonly associated with a compromised socket morphology. </w:t>
                </w:r>
              </w:p>
              <w:p w14:paraId="0BAEB265" w14:textId="77777777" w:rsidR="00FE6828" w:rsidRDefault="00FE6828" w:rsidP="00073FF5">
                <w:pPr>
                  <w:rPr>
                    <w:b/>
                  </w:rPr>
                </w:pPr>
              </w:p>
              <w:p w14:paraId="110150A9" w14:textId="1DF1C695" w:rsidR="00FE6828" w:rsidRDefault="00FE6828" w:rsidP="00073FF5">
                <w:pPr>
                  <w:rPr>
                    <w:b/>
                  </w:rPr>
                </w:pPr>
                <w:r>
                  <w:rPr>
                    <w:b/>
                  </w:rPr>
                  <w:t xml:space="preserve">Tawil 2004 – </w:t>
                </w:r>
              </w:p>
              <w:p w14:paraId="1971A97B" w14:textId="77777777" w:rsidR="00FE6828" w:rsidRPr="00FE6828" w:rsidRDefault="00FE6828" w:rsidP="00FE6828">
                <w:pPr>
                  <w:rPr>
                    <w:b/>
                  </w:rPr>
                </w:pPr>
                <w:r w:rsidRPr="00FE6828">
                  <w:rPr>
                    <w:b/>
                    <w:bCs/>
                  </w:rPr>
                  <w:lastRenderedPageBreak/>
                  <w:t>Method</w:t>
                </w:r>
                <w:r w:rsidRPr="00FE6828">
                  <w:rPr>
                    <w:b/>
                  </w:rPr>
                  <w:t xml:space="preserve">: Participants were type-2 diabetes with edentulism, had a mean HbA1c level of 7.2%, and compliant with a maintenance program. Clinical diabetes-related factors and periodontal parameters on implant survival were assessed. </w:t>
                </w:r>
              </w:p>
              <w:p w14:paraId="32C9D649" w14:textId="77777777" w:rsidR="00FE6828" w:rsidRPr="00FE6828" w:rsidRDefault="00FE6828" w:rsidP="00FE6828">
                <w:pPr>
                  <w:rPr>
                    <w:b/>
                  </w:rPr>
                </w:pPr>
                <w:r w:rsidRPr="00FE6828">
                  <w:rPr>
                    <w:b/>
                    <w:bCs/>
                  </w:rPr>
                  <w:t xml:space="preserve">Results: </w:t>
                </w:r>
                <w:r w:rsidRPr="00FE6828">
                  <w:rPr>
                    <w:b/>
                  </w:rPr>
                  <w:t xml:space="preserve">Implant survival following conventional or advanced implant therapy was not statistically different between the </w:t>
                </w:r>
                <w:proofErr w:type="spellStart"/>
                <w:r w:rsidRPr="00FE6828">
                  <w:rPr>
                    <w:b/>
                  </w:rPr>
                  <w:t>well controlled</w:t>
                </w:r>
                <w:proofErr w:type="spellEnd"/>
                <w:r w:rsidRPr="00FE6828">
                  <w:rPr>
                    <w:b/>
                  </w:rPr>
                  <w:t xml:space="preserve"> (HbA1c &lt; 7%) and the fairly well-controlled (HbA1c from 7-9%). Overall survival rate for the diabetic group was 97.2% (control 98.8%) and was not significantly different for age, gender, diabetes duration, smoking, or type of hypoglycemic therapy. </w:t>
                </w:r>
              </w:p>
              <w:p w14:paraId="13BAC105" w14:textId="4FDE9371" w:rsidR="00692E4D" w:rsidRPr="006A2AEF" w:rsidRDefault="00FE6828" w:rsidP="00FE6828">
                <w:pPr>
                  <w:rPr>
                    <w:b/>
                  </w:rPr>
                </w:pPr>
                <w:r w:rsidRPr="00FE6828">
                  <w:rPr>
                    <w:b/>
                    <w:bCs/>
                  </w:rPr>
                  <w:t xml:space="preserve">Conclusion: </w:t>
                </w:r>
                <w:r w:rsidRPr="00FE6828">
                  <w:rPr>
                    <w:b/>
                  </w:rPr>
                  <w:t>No statistically significant difference was found for patients or for implants for the advanced surgery cases or conventional approach in type-2 diabetic patients compared to nondiabetic patients.</w:t>
                </w:r>
              </w:p>
            </w:tc>
          </w:sdtContent>
        </w:sdt>
      </w:tr>
      <w:tr w:rsidR="00692E4D" w14:paraId="11C44B65" w14:textId="77777777" w:rsidTr="002E6FF2">
        <w:tc>
          <w:tcPr>
            <w:tcW w:w="8640" w:type="dxa"/>
          </w:tcPr>
          <w:p w14:paraId="4C8CEF03"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5BA1763"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5F200DE0" w14:textId="72C41119" w:rsidR="004816C3" w:rsidRPr="009A3ACA" w:rsidRDefault="00895C6C" w:rsidP="004816C3">
            <w:pPr>
              <w:ind w:left="0" w:firstLine="0"/>
            </w:pPr>
            <w:sdt>
              <w:sdtPr>
                <w:rPr>
                  <w:b/>
                </w:rPr>
                <w:id w:val="1778597194"/>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C12D34" w14:textId="64DD0EAF" w:rsidR="004816C3" w:rsidRPr="009A3ACA" w:rsidRDefault="00895C6C" w:rsidP="004816C3">
            <w:pPr>
              <w:ind w:left="0" w:firstLine="0"/>
            </w:pPr>
            <w:sdt>
              <w:sdtPr>
                <w:rPr>
                  <w:b/>
                </w:rPr>
                <w:id w:val="404413427"/>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1b</w:t>
            </w:r>
            <w:r w:rsidR="004816C3">
              <w:t xml:space="preserve"> – Individual RCT</w:t>
            </w:r>
          </w:p>
          <w:p w14:paraId="6CF01421" w14:textId="77777777" w:rsidR="004816C3" w:rsidRPr="009A3ACA" w:rsidRDefault="00895C6C"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1413A16" w14:textId="77777777" w:rsidR="004816C3" w:rsidRPr="00E2331B" w:rsidRDefault="00895C6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E5E40D2" w14:textId="77777777" w:rsidR="004816C3" w:rsidRPr="00E2331B" w:rsidRDefault="00895C6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E9A889" w14:textId="77777777" w:rsidR="004816C3" w:rsidRPr="00E2331B" w:rsidRDefault="00895C6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6EF346FD" w14:textId="77777777" w:rsidR="004816C3" w:rsidRPr="00944D52" w:rsidRDefault="00895C6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5F75319" w14:textId="77777777" w:rsidR="004816C3" w:rsidRPr="00944D52" w:rsidRDefault="00895C6C"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C3B8ADE" w14:textId="77777777" w:rsidR="004816C3" w:rsidRDefault="00895C6C"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34B6DF9" w14:textId="77777777" w:rsidR="004816C3" w:rsidRDefault="00895C6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FC69EBB" w14:textId="77777777" w:rsidR="00692E4D" w:rsidRPr="004816C3" w:rsidRDefault="00895C6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A75FA15" w14:textId="77777777" w:rsidTr="002E6FF2">
        <w:tc>
          <w:tcPr>
            <w:tcW w:w="8640" w:type="dxa"/>
          </w:tcPr>
          <w:p w14:paraId="328D24E7" w14:textId="77777777" w:rsidR="00692E4D" w:rsidRPr="00974240" w:rsidRDefault="00692E4D" w:rsidP="00692E4D">
            <w:pPr>
              <w:ind w:left="0" w:firstLine="0"/>
              <w:rPr>
                <w:b/>
              </w:rPr>
            </w:pPr>
            <w:r w:rsidRPr="00974240">
              <w:rPr>
                <w:b/>
              </w:rPr>
              <w:t>Strength of Recommendation Taxonomy (SORT) For Guidelines and Systematic Reviews</w:t>
            </w:r>
          </w:p>
          <w:p w14:paraId="6BCD8922" w14:textId="77777777" w:rsidR="00692E4D" w:rsidRDefault="00692E4D" w:rsidP="00692E4D">
            <w:pPr>
              <w:ind w:left="0" w:firstLine="0"/>
              <w:rPr>
                <w:b/>
              </w:rPr>
            </w:pPr>
            <w:r>
              <w:t xml:space="preserve">See article </w:t>
            </w:r>
            <w:r w:rsidRPr="00355808">
              <w:rPr>
                <w:b/>
              </w:rPr>
              <w:t>J Evid Base Dent Pract 2007;147-150</w:t>
            </w:r>
          </w:p>
          <w:p w14:paraId="4712C7AD" w14:textId="0C0B046F" w:rsidR="00692E4D" w:rsidRDefault="00895C6C"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6830819" w14:textId="77777777" w:rsidR="00692E4D" w:rsidRDefault="00895C6C"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BDA6F29" w14:textId="77777777" w:rsidR="00692E4D" w:rsidRDefault="00895C6C"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5E76E0E" w14:textId="77777777" w:rsidR="00692E4D" w:rsidRDefault="00692E4D" w:rsidP="00692E4D">
            <w:pPr>
              <w:ind w:left="0" w:firstLine="0"/>
              <w:rPr>
                <w:b/>
              </w:rPr>
            </w:pPr>
          </w:p>
        </w:tc>
      </w:tr>
      <w:tr w:rsidR="00692E4D" w14:paraId="182F20FF" w14:textId="77777777" w:rsidTr="002E6FF2">
        <w:tc>
          <w:tcPr>
            <w:tcW w:w="8640" w:type="dxa"/>
          </w:tcPr>
          <w:p w14:paraId="1B07E02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395E494" w14:textId="77777777" w:rsidTr="002E6FF2">
        <w:sdt>
          <w:sdtPr>
            <w:rPr>
              <w:b/>
            </w:rPr>
            <w:id w:val="-1330988089"/>
          </w:sdtPr>
          <w:sdtEndPr/>
          <w:sdtContent>
            <w:tc>
              <w:tcPr>
                <w:tcW w:w="8640" w:type="dxa"/>
              </w:tcPr>
              <w:p w14:paraId="16ED5467" w14:textId="086EE718" w:rsidR="00FE6828" w:rsidRPr="00FE6828" w:rsidRDefault="00073FF5" w:rsidP="00FE6828">
                <w:pPr>
                  <w:ind w:left="360" w:firstLine="0"/>
                  <w:rPr>
                    <w:b/>
                  </w:rPr>
                </w:pPr>
                <w:r w:rsidRPr="00073FF5">
                  <w:rPr>
                    <w:b/>
                  </w:rPr>
                  <w:t xml:space="preserve">Based on </w:t>
                </w:r>
                <w:proofErr w:type="spellStart"/>
                <w:r w:rsidRPr="00073FF5">
                  <w:rPr>
                    <w:b/>
                  </w:rPr>
                  <w:t>Lindeboom</w:t>
                </w:r>
                <w:proofErr w:type="spellEnd"/>
                <w:r w:rsidRPr="00073FF5">
                  <w:rPr>
                    <w:b/>
                  </w:rPr>
                  <w:t xml:space="preserve"> 2006 and </w:t>
                </w:r>
                <w:proofErr w:type="spellStart"/>
                <w:r w:rsidRPr="00073FF5">
                  <w:rPr>
                    <w:b/>
                  </w:rPr>
                  <w:t>Chrcanovic</w:t>
                </w:r>
                <w:proofErr w:type="spellEnd"/>
                <w:r w:rsidRPr="00073FF5">
                  <w:rPr>
                    <w:b/>
                  </w:rPr>
                  <w:t xml:space="preserve"> 2013, the survival rates of implants placed in peri-apical sites implant placement does not statically influence the survival rate of implant placement compared to no implant placement.</w:t>
                </w:r>
                <w:r>
                  <w:rPr>
                    <w:b/>
                  </w:rPr>
                  <w:t xml:space="preserve"> However, based on </w:t>
                </w:r>
                <w:proofErr w:type="spellStart"/>
                <w:r>
                  <w:rPr>
                    <w:b/>
                  </w:rPr>
                  <w:t>Lindeboom</w:t>
                </w:r>
                <w:proofErr w:type="spellEnd"/>
                <w:r>
                  <w:rPr>
                    <w:b/>
                  </w:rPr>
                  <w:t xml:space="preserve"> 2006 and </w:t>
                </w:r>
                <w:proofErr w:type="spellStart"/>
                <w:r>
                  <w:rPr>
                    <w:b/>
                  </w:rPr>
                  <w:t>Ausra</w:t>
                </w:r>
                <w:proofErr w:type="spellEnd"/>
                <w:r>
                  <w:rPr>
                    <w:b/>
                  </w:rPr>
                  <w:t xml:space="preserve"> 2019, you must take a CBCT and determine if you have a good potential for building buccal bone. If not, delayed implant protocol might be considered, specifically in the aesthetic zone.</w:t>
                </w:r>
                <w:r w:rsidR="00FE6828" w:rsidRPr="00FE6828">
                  <w:rPr>
                    <w:rFonts w:asciiTheme="minorHAnsi" w:eastAsiaTheme="minorEastAsia" w:cstheme="minorBidi"/>
                    <w:color w:val="000000" w:themeColor="text1"/>
                    <w:kern w:val="24"/>
                    <w:sz w:val="56"/>
                    <w:szCs w:val="56"/>
                  </w:rPr>
                  <w:t xml:space="preserve"> </w:t>
                </w:r>
                <w:r w:rsidR="00FE6828" w:rsidRPr="00FE6828">
                  <w:rPr>
                    <w:b/>
                  </w:rPr>
                  <w:t xml:space="preserve">Tawil 2008 determined there was no difference for </w:t>
                </w:r>
                <w:r w:rsidR="00FE6828" w:rsidRPr="00FE6828">
                  <w:rPr>
                    <w:b/>
                  </w:rPr>
                  <w:lastRenderedPageBreak/>
                  <w:t>advanced surgery cases or conventional approach in type-2 diabetics compared to nondiabetic patients.</w:t>
                </w:r>
              </w:p>
              <w:p w14:paraId="63118E88" w14:textId="29CBBF19" w:rsidR="002972EE" w:rsidRPr="00073FF5" w:rsidRDefault="002972EE" w:rsidP="00073FF5">
                <w:pPr>
                  <w:ind w:left="360" w:firstLine="0"/>
                  <w:rPr>
                    <w:b/>
                  </w:rPr>
                </w:pPr>
              </w:p>
            </w:tc>
          </w:sdtContent>
        </w:sdt>
      </w:tr>
    </w:tbl>
    <w:p w14:paraId="186ECE32" w14:textId="77777777" w:rsidR="004112F5" w:rsidRDefault="004112F5" w:rsidP="00692E4D">
      <w:pPr>
        <w:pStyle w:val="ColorfulList-Accent11"/>
        <w:ind w:left="0" w:firstLine="0"/>
        <w:rPr>
          <w:b/>
        </w:rPr>
      </w:pPr>
    </w:p>
    <w:p w14:paraId="6DE91221" w14:textId="77777777" w:rsidR="003B2868" w:rsidRDefault="003B2868" w:rsidP="00692E4D">
      <w:pPr>
        <w:pStyle w:val="ColorfulList-Accent11"/>
        <w:ind w:left="0" w:firstLine="0"/>
        <w:rPr>
          <w:b/>
        </w:rPr>
      </w:pPr>
    </w:p>
    <w:p w14:paraId="21695E26" w14:textId="77777777" w:rsidR="003B2868" w:rsidRPr="006A2AEF" w:rsidRDefault="003B2868" w:rsidP="00692E4D">
      <w:pPr>
        <w:pStyle w:val="ColorfulList-Accent11"/>
        <w:ind w:left="0" w:firstLine="0"/>
        <w:rPr>
          <w:b/>
        </w:rPr>
      </w:pPr>
    </w:p>
    <w:p w14:paraId="624D897B" w14:textId="77777777" w:rsidR="00746A56" w:rsidRDefault="004112F5" w:rsidP="00692E4D">
      <w:pPr>
        <w:ind w:left="0" w:firstLine="0"/>
        <w:rPr>
          <w:b/>
        </w:rPr>
      </w:pPr>
      <w:r>
        <w:tab/>
      </w:r>
      <w:r>
        <w:tab/>
      </w:r>
    </w:p>
    <w:p w14:paraId="53A01DEE" w14:textId="77777777" w:rsidR="003B2868" w:rsidRDefault="003B2868" w:rsidP="00692E4D">
      <w:pPr>
        <w:ind w:left="0" w:firstLine="0"/>
        <w:rPr>
          <w:b/>
        </w:rPr>
      </w:pPr>
    </w:p>
    <w:p w14:paraId="40A92308" w14:textId="77777777" w:rsidR="006A2AEF" w:rsidRDefault="006A2AEF" w:rsidP="00692E4D">
      <w:pPr>
        <w:pStyle w:val="ColorfulList-Accent11"/>
        <w:ind w:left="0" w:firstLine="0"/>
      </w:pPr>
    </w:p>
    <w:p w14:paraId="33B1AF24" w14:textId="77777777" w:rsidR="003B2868" w:rsidRPr="00746A56" w:rsidRDefault="003B2868" w:rsidP="00692E4D">
      <w:pPr>
        <w:pStyle w:val="ColorfulList-Accent11"/>
        <w:ind w:left="0" w:firstLine="0"/>
      </w:pPr>
    </w:p>
    <w:p w14:paraId="4298CBA0" w14:textId="77777777" w:rsidR="004112F5" w:rsidRDefault="004112F5" w:rsidP="00692E4D">
      <w:pPr>
        <w:ind w:left="0" w:firstLine="0"/>
      </w:pPr>
    </w:p>
    <w:p w14:paraId="7AC880E7" w14:textId="77777777" w:rsidR="004112F5" w:rsidRPr="00355808" w:rsidRDefault="004112F5" w:rsidP="00692E4D">
      <w:pPr>
        <w:ind w:left="0" w:firstLine="0"/>
      </w:pPr>
      <w:r>
        <w:t xml:space="preserve">    </w:t>
      </w:r>
    </w:p>
    <w:p w14:paraId="79061E9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C325" w14:textId="77777777" w:rsidR="00895C6C" w:rsidRDefault="00895C6C" w:rsidP="00692E4D">
      <w:pPr>
        <w:spacing w:after="0" w:line="240" w:lineRule="auto"/>
      </w:pPr>
      <w:r>
        <w:separator/>
      </w:r>
    </w:p>
  </w:endnote>
  <w:endnote w:type="continuationSeparator" w:id="0">
    <w:p w14:paraId="7FD767F0" w14:textId="77777777" w:rsidR="00895C6C" w:rsidRDefault="00895C6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BD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BC4CF" w14:textId="77777777" w:rsidR="00895C6C" w:rsidRDefault="00895C6C" w:rsidP="00692E4D">
      <w:pPr>
        <w:spacing w:after="0" w:line="240" w:lineRule="auto"/>
      </w:pPr>
      <w:r>
        <w:separator/>
      </w:r>
    </w:p>
  </w:footnote>
  <w:footnote w:type="continuationSeparator" w:id="0">
    <w:p w14:paraId="02353E93" w14:textId="77777777" w:rsidR="00895C6C" w:rsidRDefault="00895C6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8F8A" w14:textId="77777777" w:rsidR="00692E4D" w:rsidRPr="00292BEF" w:rsidRDefault="00692E4D" w:rsidP="00692E4D">
    <w:pPr>
      <w:pStyle w:val="Header"/>
      <w:jc w:val="right"/>
      <w:rPr>
        <w:sz w:val="28"/>
      </w:rPr>
    </w:pPr>
    <w:r w:rsidRPr="00292BEF">
      <w:rPr>
        <w:sz w:val="28"/>
      </w:rPr>
      <w:t>MUSoD Rounds</w:t>
    </w:r>
  </w:p>
  <w:p w14:paraId="4CA187C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BE2FE0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78"/>
    <w:multiLevelType w:val="hybridMultilevel"/>
    <w:tmpl w:val="694E68FC"/>
    <w:lvl w:ilvl="0" w:tplc="EADE0F7A">
      <w:start w:val="1"/>
      <w:numFmt w:val="bullet"/>
      <w:lvlText w:val="•"/>
      <w:lvlJc w:val="left"/>
      <w:pPr>
        <w:tabs>
          <w:tab w:val="num" w:pos="720"/>
        </w:tabs>
        <w:ind w:left="720" w:hanging="360"/>
      </w:pPr>
      <w:rPr>
        <w:rFonts w:ascii="Arial" w:hAnsi="Arial" w:hint="default"/>
      </w:rPr>
    </w:lvl>
    <w:lvl w:ilvl="1" w:tplc="FCCCC76A" w:tentative="1">
      <w:start w:val="1"/>
      <w:numFmt w:val="bullet"/>
      <w:lvlText w:val="•"/>
      <w:lvlJc w:val="left"/>
      <w:pPr>
        <w:tabs>
          <w:tab w:val="num" w:pos="1440"/>
        </w:tabs>
        <w:ind w:left="1440" w:hanging="360"/>
      </w:pPr>
      <w:rPr>
        <w:rFonts w:ascii="Arial" w:hAnsi="Arial" w:hint="default"/>
      </w:rPr>
    </w:lvl>
    <w:lvl w:ilvl="2" w:tplc="E7B6D974" w:tentative="1">
      <w:start w:val="1"/>
      <w:numFmt w:val="bullet"/>
      <w:lvlText w:val="•"/>
      <w:lvlJc w:val="left"/>
      <w:pPr>
        <w:tabs>
          <w:tab w:val="num" w:pos="2160"/>
        </w:tabs>
        <w:ind w:left="2160" w:hanging="360"/>
      </w:pPr>
      <w:rPr>
        <w:rFonts w:ascii="Arial" w:hAnsi="Arial" w:hint="default"/>
      </w:rPr>
    </w:lvl>
    <w:lvl w:ilvl="3" w:tplc="EEC0D73A" w:tentative="1">
      <w:start w:val="1"/>
      <w:numFmt w:val="bullet"/>
      <w:lvlText w:val="•"/>
      <w:lvlJc w:val="left"/>
      <w:pPr>
        <w:tabs>
          <w:tab w:val="num" w:pos="2880"/>
        </w:tabs>
        <w:ind w:left="2880" w:hanging="360"/>
      </w:pPr>
      <w:rPr>
        <w:rFonts w:ascii="Arial" w:hAnsi="Arial" w:hint="default"/>
      </w:rPr>
    </w:lvl>
    <w:lvl w:ilvl="4" w:tplc="75E094D0" w:tentative="1">
      <w:start w:val="1"/>
      <w:numFmt w:val="bullet"/>
      <w:lvlText w:val="•"/>
      <w:lvlJc w:val="left"/>
      <w:pPr>
        <w:tabs>
          <w:tab w:val="num" w:pos="3600"/>
        </w:tabs>
        <w:ind w:left="3600" w:hanging="360"/>
      </w:pPr>
      <w:rPr>
        <w:rFonts w:ascii="Arial" w:hAnsi="Arial" w:hint="default"/>
      </w:rPr>
    </w:lvl>
    <w:lvl w:ilvl="5" w:tplc="6B1C8882" w:tentative="1">
      <w:start w:val="1"/>
      <w:numFmt w:val="bullet"/>
      <w:lvlText w:val="•"/>
      <w:lvlJc w:val="left"/>
      <w:pPr>
        <w:tabs>
          <w:tab w:val="num" w:pos="4320"/>
        </w:tabs>
        <w:ind w:left="4320" w:hanging="360"/>
      </w:pPr>
      <w:rPr>
        <w:rFonts w:ascii="Arial" w:hAnsi="Arial" w:hint="default"/>
      </w:rPr>
    </w:lvl>
    <w:lvl w:ilvl="6" w:tplc="5E36D3CA" w:tentative="1">
      <w:start w:val="1"/>
      <w:numFmt w:val="bullet"/>
      <w:lvlText w:val="•"/>
      <w:lvlJc w:val="left"/>
      <w:pPr>
        <w:tabs>
          <w:tab w:val="num" w:pos="5040"/>
        </w:tabs>
        <w:ind w:left="5040" w:hanging="360"/>
      </w:pPr>
      <w:rPr>
        <w:rFonts w:ascii="Arial" w:hAnsi="Arial" w:hint="default"/>
      </w:rPr>
    </w:lvl>
    <w:lvl w:ilvl="7" w:tplc="80885F10" w:tentative="1">
      <w:start w:val="1"/>
      <w:numFmt w:val="bullet"/>
      <w:lvlText w:val="•"/>
      <w:lvlJc w:val="left"/>
      <w:pPr>
        <w:tabs>
          <w:tab w:val="num" w:pos="5760"/>
        </w:tabs>
        <w:ind w:left="5760" w:hanging="360"/>
      </w:pPr>
      <w:rPr>
        <w:rFonts w:ascii="Arial" w:hAnsi="Arial" w:hint="default"/>
      </w:rPr>
    </w:lvl>
    <w:lvl w:ilvl="8" w:tplc="73088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B4CE2"/>
    <w:multiLevelType w:val="hybridMultilevel"/>
    <w:tmpl w:val="776A9626"/>
    <w:lvl w:ilvl="0" w:tplc="A2AE621C">
      <w:start w:val="1"/>
      <w:numFmt w:val="bullet"/>
      <w:lvlText w:val="•"/>
      <w:lvlJc w:val="left"/>
      <w:pPr>
        <w:tabs>
          <w:tab w:val="num" w:pos="720"/>
        </w:tabs>
        <w:ind w:left="720" w:hanging="360"/>
      </w:pPr>
      <w:rPr>
        <w:rFonts w:ascii="Arial" w:hAnsi="Arial" w:hint="default"/>
      </w:rPr>
    </w:lvl>
    <w:lvl w:ilvl="1" w:tplc="36A48EC2" w:tentative="1">
      <w:start w:val="1"/>
      <w:numFmt w:val="bullet"/>
      <w:lvlText w:val="•"/>
      <w:lvlJc w:val="left"/>
      <w:pPr>
        <w:tabs>
          <w:tab w:val="num" w:pos="1440"/>
        </w:tabs>
        <w:ind w:left="1440" w:hanging="360"/>
      </w:pPr>
      <w:rPr>
        <w:rFonts w:ascii="Arial" w:hAnsi="Arial" w:hint="default"/>
      </w:rPr>
    </w:lvl>
    <w:lvl w:ilvl="2" w:tplc="35D0D072" w:tentative="1">
      <w:start w:val="1"/>
      <w:numFmt w:val="bullet"/>
      <w:lvlText w:val="•"/>
      <w:lvlJc w:val="left"/>
      <w:pPr>
        <w:tabs>
          <w:tab w:val="num" w:pos="2160"/>
        </w:tabs>
        <w:ind w:left="2160" w:hanging="360"/>
      </w:pPr>
      <w:rPr>
        <w:rFonts w:ascii="Arial" w:hAnsi="Arial" w:hint="default"/>
      </w:rPr>
    </w:lvl>
    <w:lvl w:ilvl="3" w:tplc="57BC2C44" w:tentative="1">
      <w:start w:val="1"/>
      <w:numFmt w:val="bullet"/>
      <w:lvlText w:val="•"/>
      <w:lvlJc w:val="left"/>
      <w:pPr>
        <w:tabs>
          <w:tab w:val="num" w:pos="2880"/>
        </w:tabs>
        <w:ind w:left="2880" w:hanging="360"/>
      </w:pPr>
      <w:rPr>
        <w:rFonts w:ascii="Arial" w:hAnsi="Arial" w:hint="default"/>
      </w:rPr>
    </w:lvl>
    <w:lvl w:ilvl="4" w:tplc="87DA585A" w:tentative="1">
      <w:start w:val="1"/>
      <w:numFmt w:val="bullet"/>
      <w:lvlText w:val="•"/>
      <w:lvlJc w:val="left"/>
      <w:pPr>
        <w:tabs>
          <w:tab w:val="num" w:pos="3600"/>
        </w:tabs>
        <w:ind w:left="3600" w:hanging="360"/>
      </w:pPr>
      <w:rPr>
        <w:rFonts w:ascii="Arial" w:hAnsi="Arial" w:hint="default"/>
      </w:rPr>
    </w:lvl>
    <w:lvl w:ilvl="5" w:tplc="D2186E2C" w:tentative="1">
      <w:start w:val="1"/>
      <w:numFmt w:val="bullet"/>
      <w:lvlText w:val="•"/>
      <w:lvlJc w:val="left"/>
      <w:pPr>
        <w:tabs>
          <w:tab w:val="num" w:pos="4320"/>
        </w:tabs>
        <w:ind w:left="4320" w:hanging="360"/>
      </w:pPr>
      <w:rPr>
        <w:rFonts w:ascii="Arial" w:hAnsi="Arial" w:hint="default"/>
      </w:rPr>
    </w:lvl>
    <w:lvl w:ilvl="6" w:tplc="F8BCDE7A" w:tentative="1">
      <w:start w:val="1"/>
      <w:numFmt w:val="bullet"/>
      <w:lvlText w:val="•"/>
      <w:lvlJc w:val="left"/>
      <w:pPr>
        <w:tabs>
          <w:tab w:val="num" w:pos="5040"/>
        </w:tabs>
        <w:ind w:left="5040" w:hanging="360"/>
      </w:pPr>
      <w:rPr>
        <w:rFonts w:ascii="Arial" w:hAnsi="Arial" w:hint="default"/>
      </w:rPr>
    </w:lvl>
    <w:lvl w:ilvl="7" w:tplc="8E364BF2" w:tentative="1">
      <w:start w:val="1"/>
      <w:numFmt w:val="bullet"/>
      <w:lvlText w:val="•"/>
      <w:lvlJc w:val="left"/>
      <w:pPr>
        <w:tabs>
          <w:tab w:val="num" w:pos="5760"/>
        </w:tabs>
        <w:ind w:left="5760" w:hanging="360"/>
      </w:pPr>
      <w:rPr>
        <w:rFonts w:ascii="Arial" w:hAnsi="Arial" w:hint="default"/>
      </w:rPr>
    </w:lvl>
    <w:lvl w:ilvl="8" w:tplc="E46CB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3745E"/>
    <w:multiLevelType w:val="hybridMultilevel"/>
    <w:tmpl w:val="2C5637F6"/>
    <w:lvl w:ilvl="0" w:tplc="3AFC435C">
      <w:start w:val="1"/>
      <w:numFmt w:val="bullet"/>
      <w:lvlText w:val="•"/>
      <w:lvlJc w:val="left"/>
      <w:pPr>
        <w:tabs>
          <w:tab w:val="num" w:pos="720"/>
        </w:tabs>
        <w:ind w:left="720" w:hanging="360"/>
      </w:pPr>
      <w:rPr>
        <w:rFonts w:ascii="Arial" w:hAnsi="Arial" w:hint="default"/>
      </w:rPr>
    </w:lvl>
    <w:lvl w:ilvl="1" w:tplc="6AB88B12" w:tentative="1">
      <w:start w:val="1"/>
      <w:numFmt w:val="bullet"/>
      <w:lvlText w:val="•"/>
      <w:lvlJc w:val="left"/>
      <w:pPr>
        <w:tabs>
          <w:tab w:val="num" w:pos="1440"/>
        </w:tabs>
        <w:ind w:left="1440" w:hanging="360"/>
      </w:pPr>
      <w:rPr>
        <w:rFonts w:ascii="Arial" w:hAnsi="Arial" w:hint="default"/>
      </w:rPr>
    </w:lvl>
    <w:lvl w:ilvl="2" w:tplc="A8A652A4" w:tentative="1">
      <w:start w:val="1"/>
      <w:numFmt w:val="bullet"/>
      <w:lvlText w:val="•"/>
      <w:lvlJc w:val="left"/>
      <w:pPr>
        <w:tabs>
          <w:tab w:val="num" w:pos="2160"/>
        </w:tabs>
        <w:ind w:left="2160" w:hanging="360"/>
      </w:pPr>
      <w:rPr>
        <w:rFonts w:ascii="Arial" w:hAnsi="Arial" w:hint="default"/>
      </w:rPr>
    </w:lvl>
    <w:lvl w:ilvl="3" w:tplc="BE507E22" w:tentative="1">
      <w:start w:val="1"/>
      <w:numFmt w:val="bullet"/>
      <w:lvlText w:val="•"/>
      <w:lvlJc w:val="left"/>
      <w:pPr>
        <w:tabs>
          <w:tab w:val="num" w:pos="2880"/>
        </w:tabs>
        <w:ind w:left="2880" w:hanging="360"/>
      </w:pPr>
      <w:rPr>
        <w:rFonts w:ascii="Arial" w:hAnsi="Arial" w:hint="default"/>
      </w:rPr>
    </w:lvl>
    <w:lvl w:ilvl="4" w:tplc="6EF87BC8" w:tentative="1">
      <w:start w:val="1"/>
      <w:numFmt w:val="bullet"/>
      <w:lvlText w:val="•"/>
      <w:lvlJc w:val="left"/>
      <w:pPr>
        <w:tabs>
          <w:tab w:val="num" w:pos="3600"/>
        </w:tabs>
        <w:ind w:left="3600" w:hanging="360"/>
      </w:pPr>
      <w:rPr>
        <w:rFonts w:ascii="Arial" w:hAnsi="Arial" w:hint="default"/>
      </w:rPr>
    </w:lvl>
    <w:lvl w:ilvl="5" w:tplc="2B48E0E0" w:tentative="1">
      <w:start w:val="1"/>
      <w:numFmt w:val="bullet"/>
      <w:lvlText w:val="•"/>
      <w:lvlJc w:val="left"/>
      <w:pPr>
        <w:tabs>
          <w:tab w:val="num" w:pos="4320"/>
        </w:tabs>
        <w:ind w:left="4320" w:hanging="360"/>
      </w:pPr>
      <w:rPr>
        <w:rFonts w:ascii="Arial" w:hAnsi="Arial" w:hint="default"/>
      </w:rPr>
    </w:lvl>
    <w:lvl w:ilvl="6" w:tplc="977E3C64" w:tentative="1">
      <w:start w:val="1"/>
      <w:numFmt w:val="bullet"/>
      <w:lvlText w:val="•"/>
      <w:lvlJc w:val="left"/>
      <w:pPr>
        <w:tabs>
          <w:tab w:val="num" w:pos="5040"/>
        </w:tabs>
        <w:ind w:left="5040" w:hanging="360"/>
      </w:pPr>
      <w:rPr>
        <w:rFonts w:ascii="Arial" w:hAnsi="Arial" w:hint="default"/>
      </w:rPr>
    </w:lvl>
    <w:lvl w:ilvl="7" w:tplc="3906055C" w:tentative="1">
      <w:start w:val="1"/>
      <w:numFmt w:val="bullet"/>
      <w:lvlText w:val="•"/>
      <w:lvlJc w:val="left"/>
      <w:pPr>
        <w:tabs>
          <w:tab w:val="num" w:pos="5760"/>
        </w:tabs>
        <w:ind w:left="5760" w:hanging="360"/>
      </w:pPr>
      <w:rPr>
        <w:rFonts w:ascii="Arial" w:hAnsi="Arial" w:hint="default"/>
      </w:rPr>
    </w:lvl>
    <w:lvl w:ilvl="8" w:tplc="D84C94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73FF5"/>
    <w:rsid w:val="00192604"/>
    <w:rsid w:val="001B00D4"/>
    <w:rsid w:val="001C073A"/>
    <w:rsid w:val="002967BF"/>
    <w:rsid w:val="002972EE"/>
    <w:rsid w:val="002E6FF2"/>
    <w:rsid w:val="003B2868"/>
    <w:rsid w:val="004112F5"/>
    <w:rsid w:val="004816C3"/>
    <w:rsid w:val="004B1110"/>
    <w:rsid w:val="005F06DC"/>
    <w:rsid w:val="00657CF8"/>
    <w:rsid w:val="00672CAF"/>
    <w:rsid w:val="00692E4D"/>
    <w:rsid w:val="006A2AEF"/>
    <w:rsid w:val="006A5E4B"/>
    <w:rsid w:val="007278F8"/>
    <w:rsid w:val="00746A56"/>
    <w:rsid w:val="00773C5C"/>
    <w:rsid w:val="0080036F"/>
    <w:rsid w:val="0084217E"/>
    <w:rsid w:val="00895C6C"/>
    <w:rsid w:val="008A3451"/>
    <w:rsid w:val="00A228DA"/>
    <w:rsid w:val="00A65D2D"/>
    <w:rsid w:val="00CA4B2C"/>
    <w:rsid w:val="00CC2023"/>
    <w:rsid w:val="00DD26F4"/>
    <w:rsid w:val="00E4293E"/>
    <w:rsid w:val="00EE3988"/>
    <w:rsid w:val="00EF4046"/>
    <w:rsid w:val="00F32487"/>
    <w:rsid w:val="00F76708"/>
    <w:rsid w:val="00FE68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6ECE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A65D2D"/>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07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616">
      <w:bodyDiv w:val="1"/>
      <w:marLeft w:val="0"/>
      <w:marRight w:val="0"/>
      <w:marTop w:val="0"/>
      <w:marBottom w:val="0"/>
      <w:divBdr>
        <w:top w:val="none" w:sz="0" w:space="0" w:color="auto"/>
        <w:left w:val="none" w:sz="0" w:space="0" w:color="auto"/>
        <w:bottom w:val="none" w:sz="0" w:space="0" w:color="auto"/>
        <w:right w:val="none" w:sz="0" w:space="0" w:color="auto"/>
      </w:divBdr>
    </w:div>
    <w:div w:id="456459102">
      <w:bodyDiv w:val="1"/>
      <w:marLeft w:val="0"/>
      <w:marRight w:val="0"/>
      <w:marTop w:val="0"/>
      <w:marBottom w:val="0"/>
      <w:divBdr>
        <w:top w:val="none" w:sz="0" w:space="0" w:color="auto"/>
        <w:left w:val="none" w:sz="0" w:space="0" w:color="auto"/>
        <w:bottom w:val="none" w:sz="0" w:space="0" w:color="auto"/>
        <w:right w:val="none" w:sz="0" w:space="0" w:color="auto"/>
      </w:divBdr>
    </w:div>
    <w:div w:id="499393219">
      <w:bodyDiv w:val="1"/>
      <w:marLeft w:val="0"/>
      <w:marRight w:val="0"/>
      <w:marTop w:val="0"/>
      <w:marBottom w:val="0"/>
      <w:divBdr>
        <w:top w:val="none" w:sz="0" w:space="0" w:color="auto"/>
        <w:left w:val="none" w:sz="0" w:space="0" w:color="auto"/>
        <w:bottom w:val="none" w:sz="0" w:space="0" w:color="auto"/>
        <w:right w:val="none" w:sz="0" w:space="0" w:color="auto"/>
      </w:divBdr>
    </w:div>
    <w:div w:id="507326234">
      <w:bodyDiv w:val="1"/>
      <w:marLeft w:val="0"/>
      <w:marRight w:val="0"/>
      <w:marTop w:val="0"/>
      <w:marBottom w:val="0"/>
      <w:divBdr>
        <w:top w:val="none" w:sz="0" w:space="0" w:color="auto"/>
        <w:left w:val="none" w:sz="0" w:space="0" w:color="auto"/>
        <w:bottom w:val="none" w:sz="0" w:space="0" w:color="auto"/>
        <w:right w:val="none" w:sz="0" w:space="0" w:color="auto"/>
      </w:divBdr>
    </w:div>
    <w:div w:id="614557316">
      <w:bodyDiv w:val="1"/>
      <w:marLeft w:val="0"/>
      <w:marRight w:val="0"/>
      <w:marTop w:val="0"/>
      <w:marBottom w:val="0"/>
      <w:divBdr>
        <w:top w:val="none" w:sz="0" w:space="0" w:color="auto"/>
        <w:left w:val="none" w:sz="0" w:space="0" w:color="auto"/>
        <w:bottom w:val="none" w:sz="0" w:space="0" w:color="auto"/>
        <w:right w:val="none" w:sz="0" w:space="0" w:color="auto"/>
      </w:divBdr>
    </w:div>
    <w:div w:id="791245126">
      <w:bodyDiv w:val="1"/>
      <w:marLeft w:val="0"/>
      <w:marRight w:val="0"/>
      <w:marTop w:val="0"/>
      <w:marBottom w:val="0"/>
      <w:divBdr>
        <w:top w:val="none" w:sz="0" w:space="0" w:color="auto"/>
        <w:left w:val="none" w:sz="0" w:space="0" w:color="auto"/>
        <w:bottom w:val="none" w:sz="0" w:space="0" w:color="auto"/>
        <w:right w:val="none" w:sz="0" w:space="0" w:color="auto"/>
      </w:divBdr>
    </w:div>
    <w:div w:id="1194735758">
      <w:bodyDiv w:val="1"/>
      <w:marLeft w:val="0"/>
      <w:marRight w:val="0"/>
      <w:marTop w:val="0"/>
      <w:marBottom w:val="0"/>
      <w:divBdr>
        <w:top w:val="none" w:sz="0" w:space="0" w:color="auto"/>
        <w:left w:val="none" w:sz="0" w:space="0" w:color="auto"/>
        <w:bottom w:val="none" w:sz="0" w:space="0" w:color="auto"/>
        <w:right w:val="none" w:sz="0" w:space="0" w:color="auto"/>
      </w:divBdr>
    </w:div>
    <w:div w:id="1317761274">
      <w:bodyDiv w:val="1"/>
      <w:marLeft w:val="0"/>
      <w:marRight w:val="0"/>
      <w:marTop w:val="0"/>
      <w:marBottom w:val="0"/>
      <w:divBdr>
        <w:top w:val="none" w:sz="0" w:space="0" w:color="auto"/>
        <w:left w:val="none" w:sz="0" w:space="0" w:color="auto"/>
        <w:bottom w:val="none" w:sz="0" w:space="0" w:color="auto"/>
        <w:right w:val="none" w:sz="0" w:space="0" w:color="auto"/>
      </w:divBdr>
      <w:divsChild>
        <w:div w:id="1937781572">
          <w:marLeft w:val="360"/>
          <w:marRight w:val="0"/>
          <w:marTop w:val="200"/>
          <w:marBottom w:val="0"/>
          <w:divBdr>
            <w:top w:val="none" w:sz="0" w:space="0" w:color="auto"/>
            <w:left w:val="none" w:sz="0" w:space="0" w:color="auto"/>
            <w:bottom w:val="none" w:sz="0" w:space="0" w:color="auto"/>
            <w:right w:val="none" w:sz="0" w:space="0" w:color="auto"/>
          </w:divBdr>
        </w:div>
      </w:divsChild>
    </w:div>
    <w:div w:id="1327586992">
      <w:bodyDiv w:val="1"/>
      <w:marLeft w:val="0"/>
      <w:marRight w:val="0"/>
      <w:marTop w:val="0"/>
      <w:marBottom w:val="0"/>
      <w:divBdr>
        <w:top w:val="none" w:sz="0" w:space="0" w:color="auto"/>
        <w:left w:val="none" w:sz="0" w:space="0" w:color="auto"/>
        <w:bottom w:val="none" w:sz="0" w:space="0" w:color="auto"/>
        <w:right w:val="none" w:sz="0" w:space="0" w:color="auto"/>
      </w:divBdr>
      <w:divsChild>
        <w:div w:id="1816992169">
          <w:marLeft w:val="360"/>
          <w:marRight w:val="0"/>
          <w:marTop w:val="200"/>
          <w:marBottom w:val="0"/>
          <w:divBdr>
            <w:top w:val="none" w:sz="0" w:space="0" w:color="auto"/>
            <w:left w:val="none" w:sz="0" w:space="0" w:color="auto"/>
            <w:bottom w:val="none" w:sz="0" w:space="0" w:color="auto"/>
            <w:right w:val="none" w:sz="0" w:space="0" w:color="auto"/>
          </w:divBdr>
        </w:div>
        <w:div w:id="372460301">
          <w:marLeft w:val="360"/>
          <w:marRight w:val="0"/>
          <w:marTop w:val="200"/>
          <w:marBottom w:val="0"/>
          <w:divBdr>
            <w:top w:val="none" w:sz="0" w:space="0" w:color="auto"/>
            <w:left w:val="none" w:sz="0" w:space="0" w:color="auto"/>
            <w:bottom w:val="none" w:sz="0" w:space="0" w:color="auto"/>
            <w:right w:val="none" w:sz="0" w:space="0" w:color="auto"/>
          </w:divBdr>
        </w:div>
      </w:divsChild>
    </w:div>
    <w:div w:id="1372151147">
      <w:bodyDiv w:val="1"/>
      <w:marLeft w:val="0"/>
      <w:marRight w:val="0"/>
      <w:marTop w:val="0"/>
      <w:marBottom w:val="0"/>
      <w:divBdr>
        <w:top w:val="none" w:sz="0" w:space="0" w:color="auto"/>
        <w:left w:val="none" w:sz="0" w:space="0" w:color="auto"/>
        <w:bottom w:val="none" w:sz="0" w:space="0" w:color="auto"/>
        <w:right w:val="none" w:sz="0" w:space="0" w:color="auto"/>
      </w:divBdr>
    </w:div>
    <w:div w:id="1378361374">
      <w:bodyDiv w:val="1"/>
      <w:marLeft w:val="0"/>
      <w:marRight w:val="0"/>
      <w:marTop w:val="0"/>
      <w:marBottom w:val="0"/>
      <w:divBdr>
        <w:top w:val="none" w:sz="0" w:space="0" w:color="auto"/>
        <w:left w:val="none" w:sz="0" w:space="0" w:color="auto"/>
        <w:bottom w:val="none" w:sz="0" w:space="0" w:color="auto"/>
        <w:right w:val="none" w:sz="0" w:space="0" w:color="auto"/>
      </w:divBdr>
    </w:div>
    <w:div w:id="1430739017">
      <w:bodyDiv w:val="1"/>
      <w:marLeft w:val="0"/>
      <w:marRight w:val="0"/>
      <w:marTop w:val="0"/>
      <w:marBottom w:val="0"/>
      <w:divBdr>
        <w:top w:val="none" w:sz="0" w:space="0" w:color="auto"/>
        <w:left w:val="none" w:sz="0" w:space="0" w:color="auto"/>
        <w:bottom w:val="none" w:sz="0" w:space="0" w:color="auto"/>
        <w:right w:val="none" w:sz="0" w:space="0" w:color="auto"/>
      </w:divBdr>
    </w:div>
    <w:div w:id="1439987410">
      <w:bodyDiv w:val="1"/>
      <w:marLeft w:val="0"/>
      <w:marRight w:val="0"/>
      <w:marTop w:val="0"/>
      <w:marBottom w:val="0"/>
      <w:divBdr>
        <w:top w:val="none" w:sz="0" w:space="0" w:color="auto"/>
        <w:left w:val="none" w:sz="0" w:space="0" w:color="auto"/>
        <w:bottom w:val="none" w:sz="0" w:space="0" w:color="auto"/>
        <w:right w:val="none" w:sz="0" w:space="0" w:color="auto"/>
      </w:divBdr>
      <w:divsChild>
        <w:div w:id="2070226105">
          <w:marLeft w:val="360"/>
          <w:marRight w:val="0"/>
          <w:marTop w:val="200"/>
          <w:marBottom w:val="0"/>
          <w:divBdr>
            <w:top w:val="none" w:sz="0" w:space="0" w:color="auto"/>
            <w:left w:val="none" w:sz="0" w:space="0" w:color="auto"/>
            <w:bottom w:val="none" w:sz="0" w:space="0" w:color="auto"/>
            <w:right w:val="none" w:sz="0" w:space="0" w:color="auto"/>
          </w:divBdr>
        </w:div>
        <w:div w:id="1421439608">
          <w:marLeft w:val="360"/>
          <w:marRight w:val="0"/>
          <w:marTop w:val="200"/>
          <w:marBottom w:val="0"/>
          <w:divBdr>
            <w:top w:val="none" w:sz="0" w:space="0" w:color="auto"/>
            <w:left w:val="none" w:sz="0" w:space="0" w:color="auto"/>
            <w:bottom w:val="none" w:sz="0" w:space="0" w:color="auto"/>
            <w:right w:val="none" w:sz="0" w:space="0" w:color="auto"/>
          </w:divBdr>
        </w:div>
        <w:div w:id="1080324626">
          <w:marLeft w:val="360"/>
          <w:marRight w:val="0"/>
          <w:marTop w:val="200"/>
          <w:marBottom w:val="0"/>
          <w:divBdr>
            <w:top w:val="none" w:sz="0" w:space="0" w:color="auto"/>
            <w:left w:val="none" w:sz="0" w:space="0" w:color="auto"/>
            <w:bottom w:val="none" w:sz="0" w:space="0" w:color="auto"/>
            <w:right w:val="none" w:sz="0" w:space="0" w:color="auto"/>
          </w:divBdr>
        </w:div>
      </w:divsChild>
    </w:div>
    <w:div w:id="1453398554">
      <w:bodyDiv w:val="1"/>
      <w:marLeft w:val="0"/>
      <w:marRight w:val="0"/>
      <w:marTop w:val="0"/>
      <w:marBottom w:val="0"/>
      <w:divBdr>
        <w:top w:val="none" w:sz="0" w:space="0" w:color="auto"/>
        <w:left w:val="none" w:sz="0" w:space="0" w:color="auto"/>
        <w:bottom w:val="none" w:sz="0" w:space="0" w:color="auto"/>
        <w:right w:val="none" w:sz="0" w:space="0" w:color="auto"/>
      </w:divBdr>
    </w:div>
    <w:div w:id="1513685800">
      <w:bodyDiv w:val="1"/>
      <w:marLeft w:val="0"/>
      <w:marRight w:val="0"/>
      <w:marTop w:val="0"/>
      <w:marBottom w:val="0"/>
      <w:divBdr>
        <w:top w:val="none" w:sz="0" w:space="0" w:color="auto"/>
        <w:left w:val="none" w:sz="0" w:space="0" w:color="auto"/>
        <w:bottom w:val="none" w:sz="0" w:space="0" w:color="auto"/>
        <w:right w:val="none" w:sz="0" w:space="0" w:color="auto"/>
      </w:divBdr>
    </w:div>
    <w:div w:id="1864317892">
      <w:bodyDiv w:val="1"/>
      <w:marLeft w:val="0"/>
      <w:marRight w:val="0"/>
      <w:marTop w:val="0"/>
      <w:marBottom w:val="0"/>
      <w:divBdr>
        <w:top w:val="none" w:sz="0" w:space="0" w:color="auto"/>
        <w:left w:val="none" w:sz="0" w:space="0" w:color="auto"/>
        <w:bottom w:val="none" w:sz="0" w:space="0" w:color="auto"/>
        <w:right w:val="none" w:sz="0" w:space="0" w:color="auto"/>
      </w:divBdr>
    </w:div>
    <w:div w:id="1951006835">
      <w:bodyDiv w:val="1"/>
      <w:marLeft w:val="0"/>
      <w:marRight w:val="0"/>
      <w:marTop w:val="0"/>
      <w:marBottom w:val="0"/>
      <w:divBdr>
        <w:top w:val="none" w:sz="0" w:space="0" w:color="auto"/>
        <w:left w:val="none" w:sz="0" w:space="0" w:color="auto"/>
        <w:bottom w:val="none" w:sz="0" w:space="0" w:color="auto"/>
        <w:right w:val="none" w:sz="0" w:space="0" w:color="auto"/>
      </w:divBdr>
    </w:div>
    <w:div w:id="1987780072">
      <w:bodyDiv w:val="1"/>
      <w:marLeft w:val="0"/>
      <w:marRight w:val="0"/>
      <w:marTop w:val="0"/>
      <w:marBottom w:val="0"/>
      <w:divBdr>
        <w:top w:val="none" w:sz="0" w:space="0" w:color="auto"/>
        <w:left w:val="none" w:sz="0" w:space="0" w:color="auto"/>
        <w:bottom w:val="none" w:sz="0" w:space="0" w:color="auto"/>
        <w:right w:val="none" w:sz="0" w:space="0" w:color="auto"/>
      </w:divBdr>
    </w:div>
    <w:div w:id="1989238601">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2">
          <w:marLeft w:val="360"/>
          <w:marRight w:val="0"/>
          <w:marTop w:val="200"/>
          <w:marBottom w:val="0"/>
          <w:divBdr>
            <w:top w:val="none" w:sz="0" w:space="0" w:color="auto"/>
            <w:left w:val="none" w:sz="0" w:space="0" w:color="auto"/>
            <w:bottom w:val="none" w:sz="0" w:space="0" w:color="auto"/>
            <w:right w:val="none" w:sz="0" w:space="0" w:color="auto"/>
          </w:divBdr>
        </w:div>
        <w:div w:id="711344693">
          <w:marLeft w:val="360"/>
          <w:marRight w:val="0"/>
          <w:marTop w:val="200"/>
          <w:marBottom w:val="0"/>
          <w:divBdr>
            <w:top w:val="none" w:sz="0" w:space="0" w:color="auto"/>
            <w:left w:val="none" w:sz="0" w:space="0" w:color="auto"/>
            <w:bottom w:val="none" w:sz="0" w:space="0" w:color="auto"/>
            <w:right w:val="none" w:sz="0" w:space="0" w:color="auto"/>
          </w:divBdr>
        </w:div>
      </w:divsChild>
    </w:div>
    <w:div w:id="199158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C6B6A"/>
    <w:rsid w:val="0028328F"/>
    <w:rsid w:val="002D0D1F"/>
    <w:rsid w:val="008841B0"/>
    <w:rsid w:val="00BB0047"/>
    <w:rsid w:val="00F0571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41B0"/>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748B6E77157864E95CC1279FBDF5764">
    <w:name w:val="C748B6E77157864E95CC1279FBDF5764"/>
    <w:rsid w:val="008841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Paape, Soren</cp:lastModifiedBy>
  <cp:revision>6</cp:revision>
  <dcterms:created xsi:type="dcterms:W3CDTF">2020-09-21T14:20:00Z</dcterms:created>
  <dcterms:modified xsi:type="dcterms:W3CDTF">2020-09-22T23:36:00Z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