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tbl>
      <w:tblPr>
        <w:tblStyle w:val="TableGrid"/>
        <w:tblW w:type="auto" w:w="0"/>
        <w:tblBorders>
          <w:top w:color="D9D9D9" w:sz="2" w:val="single"/>
          <w:left w:color="D9D9D9" w:sz="2" w:val="single"/>
          <w:bottom w:color="D9D9D9" w:sz="2" w:val="single"/>
          <w:right w:color="D9D9D9" w:sz="2" w:val="single"/>
          <w:insideH w:color="D9D9D9" w:sz="2" w:val="single"/>
          <w:insideV w:color="D9D9D9" w:sz="2" w:val="single"/>
        </w:tblBorders>
        <w:tblLook w:val="04A0"/>
      </w:tblPr>
      <w:tblGrid>
        <w:gridCol w:w="9576"/>
      </w:tblGrid>
      <w:tr>
        <w:tc>
          <w:tcPr>
            <w:tcW w:type="dxa" w:w="9576"/>
          </w:tcPr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</w:rPr>
              <w:t>Name</w:t>
            </w:r>
            <w:r>
              <w:rPr>
                <w:b w:val="1"/>
              </w:rPr>
              <w:t>: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   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Zach Quam</w:t>
            </w:r>
          </w:p>
        </w:tc>
      </w:tr>
      <w:tr>
        <w:tc>
          <w:tcPr>
            <w:tcW w:type="dxa" w:w="9576"/>
          </w:tcPr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</w:rPr>
              <w:t>Group: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 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ab/>
              <w:t>8b-1</w:t>
            </w:r>
          </w:p>
        </w:tc>
      </w:tr>
      <w:tr>
        <w:tc>
          <w:tcPr>
            <w:tcW w:type="dxa" w:w="9576"/>
          </w:tcPr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</w:rPr>
              <w:t>Pathology Question: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  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What are common implant complications?</w:t>
            </w:r>
          </w:p>
        </w:tc>
      </w:tr>
      <w:tr>
        <w:tc>
          <w:tcPr>
            <w:tcW w:type="dxa" w:w="9576"/>
          </w:tcPr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</w:rPr>
              <w:t>Report: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 recent decades dental implants have grown in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popularity as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preferred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treatment option to replace missing or diseased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dentition. As such, it is essential for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clinician to develop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knowledge of common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implant complications that one may encounter over the course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treatment. Common implant complications can be summarized into 4 broad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categories that may arise during or after implant placement. For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purpose of this report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complications will be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categorized into biomechanical overload,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infection/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inflammation, bone and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soft tissue space and injuy to anatomical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structures.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Biomechanical overload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manifests as loosening or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fracture of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component of the dental implant. Such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biomechanical overload may be a result of poor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angulation of the mplant,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inadequate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posterior support,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inadequate bone support as well as parafunctional habits.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Loosening can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include cement failure or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loosening of the prosthesis screw or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abutment screw. Furthermore,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loosening may be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result of a lack of osteointegration,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integration of bone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implant. This failed osteointegration can be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result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micro motion of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implant that causes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layer of scar tissue to form between bone and implant. 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Furthermore, infection or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 is another common 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complication. A patients lack of proper oral hygiene can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lead to infection of the implant site. In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addition, subgingival cement may cause an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immediate or delayed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 of the tissue via a foreign body reaction. </w:t>
            </w:r>
            <w:r>
              <w:rPr>
                <w:rFonts w:ascii="Times New Roman" w:hAnsi="Times New Roman"/>
                <w:b w:val="0"/>
                <w:i w:val="0"/>
                <w:strike w:val="0"/>
                <w:vanish w:val="0"/>
                <w:color w:val="000000"/>
                <w:sz w:val="24"/>
                <w:u w:val="none"/>
                <w:vertAlign w:val="baseline"/>
                <w:rtl w:val="0"/>
                <w:lang w:val="en-US"/>
              </w:rPr>
              <w:t xml:space="preserve">Infection </w:t>
            </w:r>
            <w:r>
              <w:rPr>
                <w:rFonts w:ascii="Times New Roman" w:hAnsi="Times New Roman"/>
                <w:b w:val="0"/>
                <w:i w:val="0"/>
                <w:strike w:val="0"/>
                <w:vanish w:val="0"/>
                <w:color w:val="000000"/>
                <w:sz w:val="24"/>
                <w:u w:val="none"/>
                <w:vertAlign w:val="baseline"/>
                <w:rtl w:val="0"/>
                <w:lang w:val="en-US"/>
              </w:rPr>
              <w:t>and subgingival cement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 may may lead to peri-implant disease, which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presents with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redness and painful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inflammation. Peri-implant disease itself can be broken down into peri-implant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Mucositis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and peri-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implantitis. Peri-implant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Mucositis can be defined as bleeding on probing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tissue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around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dental 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while peri-implantitis can be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defined as a change in bone level at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implant site. 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Infection can be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treated early through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utilization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antibiotics. Also,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subgingival cement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can be treated by simply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removing the cement. However, both long term infection and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inflammation may lead to bone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resorption that must be treated via tissue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or bone graft.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Additionally,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inadequate bone or soft tissue space can be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complication with implant treatment. In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preparation for implant placement, it is important to preserve the residual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bone and soft tissues for form and esthetics.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Esthetic condisderations are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particularly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important in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anterior.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Furthermore, it is important to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maintain 1.5mm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of space between an implant and adjacent teeth. Similarly, one must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maintain 3-4mm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space between imlants. In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assessing bone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and soft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tissue space, one can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use Seibert’s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classification. A class I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classification indicates a buccolingual loss of ridge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contour while a class II indicates apicocoronal loss of ridge contour.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Additionally, a class III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indicates both buccolingual and apicocoronal loss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ridge contour. 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What is more, injuries to anatomical structures can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occur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during surgical implant placement.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Consequently, it is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important to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protect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inferior alveolar canal and the neurovascular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bundle within.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Additionally, car must be taken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not to invade the maxillary sinus or nasal cavity. In more compromised mandibles, mandibular fracture must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obviously be avoided. Also, adjacent devitalized teeth that were endodontically treated have been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known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to have dormant problems that flare up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and cause 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pathosis.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As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prevalence of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dental implant placement increases along with an aging population, dental implants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will become a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larger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aspect of dentirstry.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Consequently,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it is paramount the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clinicians develop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knowledge of these implant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 xml:space="preserve">complications in order to </w:t>
            </w:r>
            <w:r>
              <w:rPr>
                <w:rFonts w:ascii="Times New Roman" w:hAnsi="Times New Roman"/>
                <w:b w:val="0"/>
                <w:vanish w:val="0"/>
                <w:color w:val="000000"/>
                <w:sz w:val="24"/>
                <w:rtl w:val="0"/>
                <w:lang w:val="en-US"/>
              </w:rPr>
              <w:t>prevent them and provide their patients with optimum care.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</w:p>
        </w:tc>
      </w:tr>
      <w:tr>
        <w:tc>
          <w:tcPr>
            <w:tcW w:type="dxa" w:w="9576"/>
          </w:tcPr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</w:rPr>
              <w:t>References: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bidi="ar_SA" w:eastAsia="en_US" w:val="en_US"/>
              </w:rPr>
              <w:t>https://journals.lww.com/implantdent/fulltext/2008/06000/Implant_Surgery_Complications__Etiology_and.6.aspx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0"/>
                <w:sz w:val="24"/>
                <w:lang w:bidi="ar_SA" w:eastAsia="en_US" w:val="en_US"/>
              </w:rPr>
              <w:t>https://0-www-sciencedirect-com.libus.csd.mu.edu/science/article/pii/S0887217115000967?via%3Dihub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  <w:t>https://0-pubmed-ncbi-nlm-nih-gov.libus.csd.mu.edu/27647536/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  <w:t>https://0-www-sciencedirect-com.libus.csd.mu.edu/science/article/pii/S0300571217300957?via%3Dihub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  <w: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  <w:t>https://dl.uswr.ac.ir/bitstream/Hannan/88889/1/2018%20Periodontology2000%20Volume%201%20June%20%286%29.pdf</w:t>
            </w: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rFonts w:ascii="Times New Roman" w:hAnsi="Times New Roman"/>
                <w:b w:val="1"/>
                <w:vanish w:val="0"/>
                <w:color w:val="000000"/>
                <w:sz w:val="24"/>
                <w:rtl w:val="0"/>
                <w:lang w:val="en-US"/>
              </w:rPr>
              <w:t xml:space="preserve">	</w:t>
            </w:r>
          </w:p>
        </w:tc>
      </w:tr>
    </w:tbl>
    <w:p>
      <w:pPr>
        <w:rPr>
          <w:rFonts w:ascii="Times New Roman" w:hAnsi="Times New Roman"/>
          <w:sz w:val="24"/>
          <w:lang w:bidi="ar_SA" w:eastAsia="en_US" w:val="en_US"/>
        </w:rPr>
      </w:pPr>
    </w:p>
    <w:sectPr>
      <w:headerReference w:type="default" r:id="rId5"/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1E" w:rsidRDefault="00E05B1E" w:rsidP="00292BEF">
      <w:r>
        <w:separator/>
      </w:r>
    </w:p>
  </w:endnote>
  <w:endnote w:type="continuationSeparator" w:id="0">
    <w:p w:rsidR="00E05B1E" w:rsidRDefault="00E05B1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1E" w:rsidRDefault="00E05B1E" w:rsidP="00292BEF">
      <w:r>
        <w:separator/>
      </w:r>
    </w:p>
  </w:footnote>
  <w:footnote w:type="continuationSeparator" w:id="0">
    <w:p w:rsidR="00E05B1E" w:rsidRDefault="00E05B1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../customXml/item3.xml" Type="http://schemas.openxmlformats.org/officeDocument/2006/relationships/customXml"></Relationship><Relationship Id="rId2" Target="../customXml/item2.xml" Type="http://schemas.openxmlformats.org/officeDocument/2006/relationships/customXml"></Relationship><Relationship Id="rId3" Target="../customXml/item1.xml" Type="http://schemas.openxmlformats.org/officeDocument/2006/relationships/customXml"></Relationship><Relationship Id="rId4" Target="../customXml/item4.xml" Type="http://schemas.openxmlformats.org/officeDocument/2006/relationships/customXml"></Relationship><Relationship Id="rId5" Target="header1.xml" Type="http://schemas.openxmlformats.org/officeDocument/2006/relationships/header"></Relationship><Relationship Id="rId6" Target="footnotes.xml" Type="http://schemas.openxmlformats.org/officeDocument/2006/relationships/footnotes"></Relationship><Relationship Id="rId7" Target="endnotes.xml" Type="http://schemas.openxmlformats.org/officeDocument/2006/relationships/endnotes"></Relationship><Relationship Id="rId8" Target="settings.xml" Type="http://schemas.openxmlformats.org/officeDocument/2006/relationships/settings"></Relationship><Relationship Id="rId9" Target="fontTable.xml" Type="http://schemas.openxmlformats.org/officeDocument/2006/relationships/fontTable"></Relationship><Relationship Id="rId10" Target="webSettings.xml" Type="http://schemas.openxmlformats.org/officeDocument/2006/relationships/webSettings"></Relationship><Relationship Id="rId11" Target="styles.xml" Type="http://schemas.openxmlformats.org/officeDocument/2006/relationships/styles"></Relationship><Relationship Id="rId12" Target="theme/theme1.xml" Type="http://schemas.openxmlformats.org/officeDocument/2006/relationships/theme"></Relationship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000000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000000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000000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000000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000000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1</Pages>
  <Words>30</Words>
  <Characters>3744</Characters>
  <Lines>1</Lines>
  <Paragraphs>1</Paragraphs>
  <TotalTime>2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4332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2</cp:revision>
  <dcterms:created xsi:type="dcterms:W3CDTF">2011-08-30T13:28:00Z</dcterms:created>
  <dcterms:modified xsi:type="dcterms:W3CDTF">2011-08-30T13:28:00Z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