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9A-5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Sahar </w:t>
                </w:r>
                <w:proofErr w:type="spellStart"/>
                <w:r>
                  <w:rPr>
                    <w:b/>
                  </w:rPr>
                  <w:t>Edalatpour</w:t>
                </w:r>
                <w:proofErr w:type="spellEnd"/>
                <w:r>
                  <w:rPr>
                    <w:b/>
                  </w:rPr>
                  <w:t xml:space="preserve">, Austin Czarnecki, Jack Hayes, Francesca </w:t>
                </w:r>
                <w:proofErr w:type="spellStart"/>
                <w:r>
                  <w:rPr>
                    <w:b/>
                  </w:rPr>
                  <w:t>Malensek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treatment modalities would best serve our patients with severe TMD symptoms?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temporomandibular disorder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Trigger point injections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Traditional drug modalities such as muscle relaxants (cyclobenzaprine)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TMD symptom alleviation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0937E6" w:rsidRDefault="000937E6" w:rsidP="000937E6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cs="Calibri"/>
                    <w:color w:val="201F1E"/>
                    <w:shd w:val="clear" w:color="auto" w:fill="FFFFFF"/>
                  </w:rPr>
                  <w:t>In patients with severe TMD, how does trigger point injections compare with muscle relaxants in alleviating symptoms?</w:t>
                </w:r>
              </w:p>
              <w:p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Do trigger points have a more favorable, equal, or less favorable result</w:t>
                </w:r>
                <w:r w:rsidR="009A600B">
                  <w:rPr>
                    <w:b/>
                  </w:rPr>
                  <w:t xml:space="preserve"> than muscle relaxants</w:t>
                </w:r>
                <w:r>
                  <w:rPr>
                    <w:b/>
                  </w:rPr>
                  <w:t xml:space="preserve"> for patients with severe TMD symptoms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09/1</w:t>
                </w:r>
                <w:r w:rsidR="009A600B">
                  <w:rPr>
                    <w:b/>
                  </w:rPr>
                  <w:t>5</w:t>
                </w:r>
                <w:r>
                  <w:rPr>
                    <w:b/>
                  </w:rPr>
                  <w:t>/2020</w:t>
                </w:r>
                <w:r w:rsidR="009A600B">
                  <w:rPr>
                    <w:b/>
                  </w:rPr>
                  <w:t>, 09/17/2020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TMD, trigger point injections, muscle relaxants, TMJ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0937E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“TMJ, disorder</w:t>
                </w:r>
                <w:proofErr w:type="gramStart"/>
                <w:r>
                  <w:rPr>
                    <w:b/>
                  </w:rPr>
                  <w:t>” ,</w:t>
                </w:r>
                <w:proofErr w:type="gramEnd"/>
                <w:r>
                  <w:rPr>
                    <w:b/>
                  </w:rPr>
                  <w:t xml:space="preserve"> “Trigger point injections”, “Centrally acting muscle relaxants”, “Dry Needling”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9A600B" w:rsidRDefault="009A600B" w:rsidP="009A600B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9A600B">
                  <w:rPr>
                    <w:b/>
                  </w:rPr>
                  <w:t>Luis Espejo-</w:t>
                </w:r>
                <w:proofErr w:type="spellStart"/>
                <w:r w:rsidRPr="009A600B">
                  <w:rPr>
                    <w:b/>
                  </w:rPr>
                  <w:t>Antúneza</w:t>
                </w:r>
                <w:proofErr w:type="spellEnd"/>
                <w:r w:rsidRPr="009A600B">
                  <w:rPr>
                    <w:b/>
                  </w:rPr>
                  <w:t xml:space="preserve"> Jaime Fernández-Huertas </w:t>
                </w:r>
                <w:proofErr w:type="spellStart"/>
                <w:r w:rsidRPr="009A600B">
                  <w:rPr>
                    <w:b/>
                  </w:rPr>
                  <w:t>Tejedaa</w:t>
                </w:r>
                <w:proofErr w:type="spellEnd"/>
                <w:r w:rsidRPr="009A600B">
                  <w:rPr>
                    <w:b/>
                  </w:rPr>
                  <w:t xml:space="preserve"> Manuel </w:t>
                </w:r>
                <w:proofErr w:type="spellStart"/>
                <w:r w:rsidRPr="009A600B">
                  <w:rPr>
                    <w:b/>
                  </w:rPr>
                  <w:t>Albornoz</w:t>
                </w:r>
                <w:proofErr w:type="spellEnd"/>
                <w:r w:rsidRPr="009A600B">
                  <w:rPr>
                    <w:b/>
                  </w:rPr>
                  <w:t>-Cabello. Dry needling in the management of myofascial trigger points: A systematic review of randomized controlled trials (2017)</w:t>
                </w:r>
                <w:r>
                  <w:rPr>
                    <w:b/>
                  </w:rPr>
                  <w:t xml:space="preserve">. </w:t>
                </w:r>
                <w:hyperlink r:id="rId11" w:tgtFrame="_blank" w:tooltip="Persistent link using digital object identifier" w:history="1">
                  <w:r>
                    <w:rPr>
                      <w:rStyle w:val="Hyperlink"/>
                      <w:rFonts w:ascii="Arial" w:hAnsi="Arial" w:cs="Arial"/>
                      <w:color w:val="E9711C"/>
                      <w:sz w:val="21"/>
                      <w:szCs w:val="21"/>
                    </w:rPr>
                    <w:t>https://doi.org/10.1016/j.ctim.2017.06.003</w:t>
                  </w:r>
                </w:hyperlink>
              </w:p>
              <w:p w:rsidR="009A600B" w:rsidRDefault="009A600B" w:rsidP="009A600B">
                <w:pPr>
                  <w:ind w:left="0" w:firstLine="0"/>
                  <w:rPr>
                    <w:b/>
                  </w:rPr>
                </w:pPr>
              </w:p>
              <w:p w:rsidR="009A600B" w:rsidRDefault="009A600B" w:rsidP="009A600B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 w:rsidRPr="009A600B">
                  <w:rPr>
                    <w:b/>
                  </w:rPr>
                  <w:lastRenderedPageBreak/>
                  <w:t>Haggman-Henrikson</w:t>
                </w:r>
                <w:proofErr w:type="spellEnd"/>
                <w:r w:rsidRPr="009A600B">
                  <w:rPr>
                    <w:b/>
                  </w:rPr>
                  <w:t xml:space="preserve"> </w:t>
                </w:r>
                <w:proofErr w:type="spellStart"/>
                <w:proofErr w:type="gramStart"/>
                <w:r w:rsidRPr="009A600B">
                  <w:rPr>
                    <w:b/>
                  </w:rPr>
                  <w:t>B,Alstergren</w:t>
                </w:r>
                <w:proofErr w:type="spellEnd"/>
                <w:proofErr w:type="gramEnd"/>
                <w:r w:rsidRPr="009A600B">
                  <w:rPr>
                    <w:b/>
                  </w:rPr>
                  <w:t xml:space="preserve"> P, Davidson T, A. Pharmacological treatment of </w:t>
                </w:r>
                <w:proofErr w:type="spellStart"/>
                <w:r w:rsidRPr="009A600B">
                  <w:rPr>
                    <w:b/>
                  </w:rPr>
                  <w:t>oro</w:t>
                </w:r>
                <w:proofErr w:type="spellEnd"/>
                <w:r w:rsidRPr="009A600B">
                  <w:rPr>
                    <w:b/>
                  </w:rPr>
                  <w:t>‐facial pain – health technology assessment including a systematic review with network meta‐analysis (2017.)</w:t>
                </w:r>
                <w:r>
                  <w:rPr>
                    <w:b/>
                  </w:rPr>
                  <w:t xml:space="preserve"> </w:t>
                </w:r>
                <w:hyperlink r:id="rId12" w:history="1">
                  <w:r>
                    <w:rPr>
                      <w:rStyle w:val="Hyperlink"/>
                      <w:rFonts w:ascii="Arial" w:hAnsi="Arial" w:cs="Arial"/>
                      <w:b/>
                      <w:bCs/>
                      <w:color w:val="005274"/>
                      <w:sz w:val="21"/>
                      <w:szCs w:val="21"/>
                      <w:shd w:val="clear" w:color="auto" w:fill="FFFFFF"/>
                    </w:rPr>
                    <w:t>https://doi.org/10.1111/joor.12539</w:t>
                  </w:r>
                </w:hyperlink>
              </w:p>
              <w:p w:rsidR="009A600B" w:rsidRDefault="009A600B" w:rsidP="009A600B">
                <w:pPr>
                  <w:ind w:left="0" w:firstLine="0"/>
                  <w:rPr>
                    <w:b/>
                  </w:rPr>
                </w:pPr>
              </w:p>
              <w:p w:rsidR="009A600B" w:rsidRDefault="009A600B" w:rsidP="009A600B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9A600B">
                  <w:rPr>
                    <w:b/>
                  </w:rPr>
                  <w:t>Machado E., A systematic review of different substance injection and dry needling for treatment of temporomandibular myofascial pain (2018)</w:t>
                </w:r>
                <w:r>
                  <w:t xml:space="preserve"> </w:t>
                </w:r>
                <w:hyperlink r:id="rId13" w:tgtFrame="_blank" w:tooltip="Persistent link using digital object identifier" w:history="1">
                  <w:r>
                    <w:rPr>
                      <w:rStyle w:val="Hyperlink"/>
                      <w:rFonts w:ascii="Arial" w:hAnsi="Arial" w:cs="Arial"/>
                      <w:color w:val="0C7DBB"/>
                      <w:sz w:val="21"/>
                      <w:szCs w:val="21"/>
                    </w:rPr>
                    <w:t>https://doi.org/10.1016/j.ijom.2018.05.003</w:t>
                  </w:r>
                </w:hyperlink>
              </w:p>
              <w:p w:rsidR="009A600B" w:rsidRPr="009A600B" w:rsidRDefault="009A600B" w:rsidP="009A600B">
                <w:pPr>
                  <w:ind w:left="0" w:firstLine="0"/>
                  <w:rPr>
                    <w:b/>
                  </w:rPr>
                </w:pPr>
              </w:p>
              <w:p w:rsidR="009A600B" w:rsidRPr="009A600B" w:rsidRDefault="009A600B" w:rsidP="009A600B">
                <w:pPr>
                  <w:ind w:left="0" w:firstLine="0"/>
                  <w:rPr>
                    <w:b/>
                  </w:rPr>
                </w:pPr>
              </w:p>
              <w:p w:rsidR="009A600B" w:rsidRPr="009A600B" w:rsidRDefault="009A600B" w:rsidP="009A600B">
                <w:pPr>
                  <w:ind w:left="0" w:firstLine="0"/>
                  <w:rPr>
                    <w:b/>
                  </w:rPr>
                </w:pPr>
              </w:p>
              <w:p w:rsidR="00692E4D" w:rsidRPr="00974240" w:rsidRDefault="00692E4D" w:rsidP="009A600B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0F2DA0" w:rsidRDefault="000F2DA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Meta- analysis </w:t>
                </w:r>
              </w:p>
              <w:p w:rsidR="00692E4D" w:rsidRPr="006A2AEF" w:rsidRDefault="00BA31E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Systematic review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534706" w:rsidRDefault="005347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Recent publication</w:t>
                </w:r>
              </w:p>
              <w:p w:rsidR="00534706" w:rsidRDefault="005347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Relevant to the case </w:t>
                </w:r>
              </w:p>
              <w:p w:rsidR="00692E4D" w:rsidRPr="006A2AEF" w:rsidRDefault="005347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High levels of evidence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:rsidR="009A600B" w:rsidRPr="009A600B" w:rsidRDefault="009A600B" w:rsidP="009A600B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A600B">
                  <w:rPr>
                    <w:b/>
                  </w:rPr>
                  <w:t>Relevant studies were identified by searching PubMed, Scopus, The Cochrane Library and Physiotherapy Evidence Database</w:t>
                </w:r>
                <w:proofErr w:type="gramStart"/>
                <w:r>
                  <w:rPr>
                    <w:b/>
                  </w:rPr>
                  <w:t xml:space="preserve">. </w:t>
                </w:r>
                <w:r w:rsidRPr="009A600B">
                  <w:rPr>
                    <w:b/>
                  </w:rPr>
                  <w:t>:</w:t>
                </w:r>
                <w:proofErr w:type="gramEnd"/>
                <w:r w:rsidRPr="009A600B">
                  <w:rPr>
                    <w:b/>
                  </w:rPr>
                  <w:t xml:space="preserve"> 3 studies compared dry needling to lidocaine injections to botulism injections. Conflicting results for pain pressure threshold</w:t>
                </w:r>
                <w:r>
                  <w:rPr>
                    <w:b/>
                  </w:rPr>
                  <w:t xml:space="preserve">. </w:t>
                </w:r>
                <w:r w:rsidRPr="009A600B">
                  <w:rPr>
                    <w:b/>
                  </w:rPr>
                  <w:t xml:space="preserve">Improved range of motion </w:t>
                </w:r>
              </w:p>
              <w:p w:rsidR="009A600B" w:rsidRDefault="009A600B" w:rsidP="009A600B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A600B">
                  <w:rPr>
                    <w:b/>
                  </w:rPr>
                  <w:t>Adults patients (18+</w:t>
                </w:r>
                <w:proofErr w:type="gramStart"/>
                <w:r w:rsidRPr="009A600B">
                  <w:rPr>
                    <w:b/>
                  </w:rPr>
                  <w:t>)  with</w:t>
                </w:r>
                <w:proofErr w:type="gramEnd"/>
                <w:r w:rsidRPr="009A600B">
                  <w:rPr>
                    <w:b/>
                  </w:rPr>
                  <w:t xml:space="preserve"> chronic </w:t>
                </w:r>
                <w:proofErr w:type="spellStart"/>
                <w:r w:rsidRPr="009A600B">
                  <w:rPr>
                    <w:b/>
                  </w:rPr>
                  <w:t>oro</w:t>
                </w:r>
                <w:proofErr w:type="spellEnd"/>
                <w:r w:rsidRPr="009A600B">
                  <w:rPr>
                    <w:b/>
                  </w:rPr>
                  <w:t>-facial pain (TMD</w:t>
                </w:r>
                <w:r>
                  <w:rPr>
                    <w:b/>
                  </w:rPr>
                  <w:t xml:space="preserve">). Subdivided into three groups. TMD-muscle, TMD- joint, Burning mouth syndrome. 41 studies included. Analyzed treatments: muscle relaxants, substrate injections, NSAIDs, </w:t>
                </w:r>
                <w:proofErr w:type="spellStart"/>
                <w:r>
                  <w:rPr>
                    <w:b/>
                  </w:rPr>
                  <w:t>benzodiazepenes</w:t>
                </w:r>
                <w:proofErr w:type="spellEnd"/>
                <w:r>
                  <w:rPr>
                    <w:b/>
                  </w:rPr>
                  <w:t>, and other</w:t>
                </w:r>
              </w:p>
              <w:p w:rsidR="009A600B" w:rsidRPr="009A600B" w:rsidRDefault="009A600B" w:rsidP="009A600B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A600B">
                  <w:rPr>
                    <w:b/>
                  </w:rPr>
                  <w:t>Systematic review of randomized clinical trials</w:t>
                </w:r>
                <w:r>
                  <w:rPr>
                    <w:b/>
                  </w:rPr>
                  <w:t xml:space="preserve"> of 18 RCTs. </w:t>
                </w:r>
                <w:r w:rsidRPr="009A600B">
                  <w:rPr>
                    <w:b/>
                  </w:rPr>
                  <w:t>Comparisons</w:t>
                </w:r>
                <w:r>
                  <w:rPr>
                    <w:b/>
                  </w:rPr>
                  <w:t xml:space="preserve"> </w:t>
                </w:r>
                <w:r w:rsidRPr="009A600B">
                  <w:rPr>
                    <w:b/>
                  </w:rPr>
                  <w:t>Dry needling x substrate injection</w:t>
                </w:r>
                <w:r>
                  <w:rPr>
                    <w:b/>
                  </w:rPr>
                  <w:t xml:space="preserve">, </w:t>
                </w:r>
                <w:r w:rsidRPr="009A600B">
                  <w:rPr>
                    <w:b/>
                  </w:rPr>
                  <w:t>Dry needling x other treatments</w:t>
                </w:r>
                <w:r>
                  <w:rPr>
                    <w:b/>
                  </w:rPr>
                  <w:t xml:space="preserve">, </w:t>
                </w:r>
                <w:r w:rsidRPr="009A600B">
                  <w:rPr>
                    <w:b/>
                  </w:rPr>
                  <w:t xml:space="preserve">Substance injection x other treatments </w:t>
                </w:r>
              </w:p>
              <w:p w:rsidR="009A600B" w:rsidRPr="009A600B" w:rsidRDefault="009A600B" w:rsidP="009A600B">
                <w:pPr>
                  <w:ind w:left="360" w:firstLine="0"/>
                  <w:rPr>
                    <w:b/>
                  </w:rPr>
                </w:pPr>
                <w:bookmarkStart w:id="0" w:name="_GoBack"/>
                <w:bookmarkEnd w:id="0"/>
              </w:p>
              <w:p w:rsidR="00692E4D" w:rsidRPr="006A2AEF" w:rsidRDefault="00692E4D" w:rsidP="009A600B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4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7E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163F57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163F57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163F57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28D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163F57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28D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163F57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:rsidR="009A600B" w:rsidRPr="009A600B" w:rsidRDefault="009A600B" w:rsidP="009A600B">
                <w:pPr>
                  <w:numPr>
                    <w:ilvl w:val="0"/>
                    <w:numId w:val="11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r w:rsidRPr="009A600B">
                  <w:rPr>
                    <w:b/>
                  </w:rPr>
                  <w:t>Both dry needling/ substrate injections into trigger points and pharmacological interventions show evidence of reducing pain for patients at least over the short term.</w:t>
                </w:r>
              </w:p>
              <w:p w:rsidR="009A600B" w:rsidRPr="009A600B" w:rsidRDefault="009A600B" w:rsidP="009A600B">
                <w:pPr>
                  <w:numPr>
                    <w:ilvl w:val="0"/>
                    <w:numId w:val="11"/>
                  </w:numPr>
                  <w:rPr>
                    <w:b/>
                  </w:rPr>
                </w:pPr>
                <w:r w:rsidRPr="009A600B">
                  <w:rPr>
                    <w:b/>
                  </w:rPr>
                  <w:t xml:space="preserve">Conflicting results for maximum mouth opening and more research would be needed </w:t>
                </w:r>
              </w:p>
              <w:p w:rsidR="009A600B" w:rsidRPr="009A600B" w:rsidRDefault="009A600B" w:rsidP="009A600B">
                <w:pPr>
                  <w:numPr>
                    <w:ilvl w:val="0"/>
                    <w:numId w:val="11"/>
                  </w:numPr>
                  <w:rPr>
                    <w:b/>
                  </w:rPr>
                </w:pPr>
                <w:r w:rsidRPr="009A600B">
                  <w:rPr>
                    <w:b/>
                  </w:rPr>
                  <w:t xml:space="preserve">Evidence supports muscle relaxants aid in TMD associated with muscle pain, while substrate injections aid in TMD associated with joint pain. </w:t>
                </w:r>
              </w:p>
              <w:p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57" w:rsidRDefault="00163F57" w:rsidP="00692E4D">
      <w:pPr>
        <w:spacing w:after="0" w:line="240" w:lineRule="auto"/>
      </w:pPr>
      <w:r>
        <w:separator/>
      </w:r>
    </w:p>
  </w:endnote>
  <w:endnote w:type="continuationSeparator" w:id="0">
    <w:p w:rsidR="00163F57" w:rsidRDefault="00163F57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57" w:rsidRDefault="00163F57" w:rsidP="00692E4D">
      <w:pPr>
        <w:spacing w:after="0" w:line="240" w:lineRule="auto"/>
      </w:pPr>
      <w:r>
        <w:separator/>
      </w:r>
    </w:p>
  </w:footnote>
  <w:footnote w:type="continuationSeparator" w:id="0">
    <w:p w:rsidR="00163F57" w:rsidRDefault="00163F57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7837"/>
    <w:multiLevelType w:val="hybridMultilevel"/>
    <w:tmpl w:val="5414E9F0"/>
    <w:lvl w:ilvl="0" w:tplc="2648F1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A38F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8A4D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ACC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6794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3AE6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403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F4FC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2EAE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0221484"/>
    <w:multiLevelType w:val="hybridMultilevel"/>
    <w:tmpl w:val="80ACE708"/>
    <w:lvl w:ilvl="0" w:tplc="B4F22A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D41DA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E822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3002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A236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5278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AC6E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D87F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5E5A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D4A46B1"/>
    <w:multiLevelType w:val="hybridMultilevel"/>
    <w:tmpl w:val="694AC0EA"/>
    <w:lvl w:ilvl="0" w:tplc="67C440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D65BF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EC3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2C16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1631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4476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10879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46C3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5441E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75858"/>
    <w:multiLevelType w:val="hybridMultilevel"/>
    <w:tmpl w:val="D5966792"/>
    <w:lvl w:ilvl="0" w:tplc="DFAECD3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CE42D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06C4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9EB5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909F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E72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810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7491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68A4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69750D"/>
    <w:multiLevelType w:val="hybridMultilevel"/>
    <w:tmpl w:val="8138D94A"/>
    <w:lvl w:ilvl="0" w:tplc="8E720C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323FD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620FF8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035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8082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BE7CA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F40A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46FD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7887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6D353BE"/>
    <w:multiLevelType w:val="hybridMultilevel"/>
    <w:tmpl w:val="CEA651FE"/>
    <w:lvl w:ilvl="0" w:tplc="004CA47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B653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24F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0F8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8C2E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8017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A0C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437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966F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937E6"/>
    <w:rsid w:val="000F2DA0"/>
    <w:rsid w:val="00163F57"/>
    <w:rsid w:val="00192604"/>
    <w:rsid w:val="001C073A"/>
    <w:rsid w:val="002967BF"/>
    <w:rsid w:val="002972EE"/>
    <w:rsid w:val="002E6FF2"/>
    <w:rsid w:val="003B2868"/>
    <w:rsid w:val="004112F5"/>
    <w:rsid w:val="004652CA"/>
    <w:rsid w:val="004816C3"/>
    <w:rsid w:val="004B1110"/>
    <w:rsid w:val="00534706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628B8"/>
    <w:rsid w:val="008A3451"/>
    <w:rsid w:val="0091128D"/>
    <w:rsid w:val="009A600B"/>
    <w:rsid w:val="00A228DA"/>
    <w:rsid w:val="00BA31E7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4E5973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48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9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41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8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4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9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3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32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37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8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231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031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16/j.ijom.2018.05.003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11/joor.1253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ctim.2017.06.00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bm.net/index.aspx?o=10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FE5DE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Czarnecki, Austin</cp:lastModifiedBy>
  <cp:revision>7</cp:revision>
  <dcterms:created xsi:type="dcterms:W3CDTF">2014-10-15T17:34:00Z</dcterms:created>
  <dcterms:modified xsi:type="dcterms:W3CDTF">2020-09-23T16:09:00Z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