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9576"/>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Content>
            <w:tc>
              <w:tcPr>
                <w:tcW w:w="9576" w:type="dxa"/>
              </w:tcPr>
              <w:p w:rsidR="009E5F3C" w:rsidRDefault="00F96513" w:rsidP="00F96513">
                <w:r>
                  <w:t>Meghan Ryan</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Content>
            <w:tc>
              <w:tcPr>
                <w:tcW w:w="9576" w:type="dxa"/>
              </w:tcPr>
              <w:p w:rsidR="009E5F3C" w:rsidRDefault="00D03664" w:rsidP="00D03664">
                <w:r>
                  <w:t>2A-3</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Content>
            <w:tc>
              <w:tcPr>
                <w:tcW w:w="9576" w:type="dxa"/>
              </w:tcPr>
              <w:p w:rsidR="009E5F3C" w:rsidRDefault="00D03664" w:rsidP="00D03664">
                <w:r>
                  <w:t xml:space="preserve">What is involved in the process of </w:t>
                </w:r>
                <w:proofErr w:type="spellStart"/>
                <w:r>
                  <w:t>osseointegration</w:t>
                </w:r>
                <w:proofErr w:type="spellEnd"/>
                <w:r>
                  <w: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Content>
            <w:tc>
              <w:tcPr>
                <w:tcW w:w="9576" w:type="dxa"/>
              </w:tcPr>
              <w:p w:rsidR="0006611B" w:rsidRDefault="00D03664" w:rsidP="00D03664">
                <w:r>
                  <w:tab/>
                </w:r>
                <w:proofErr w:type="spellStart"/>
                <w:r>
                  <w:t>Osseointegration</w:t>
                </w:r>
                <w:proofErr w:type="spellEnd"/>
                <w:r>
                  <w:t xml:space="preserve"> is crucial to the long term success rate of an implant, ensuring that the implant is firmly placed in the</w:t>
                </w:r>
                <w:r w:rsidR="00B07260">
                  <w:t xml:space="preserve"> alveolar</w:t>
                </w:r>
                <w:r>
                  <w:t xml:space="preserve"> bone. Without proper </w:t>
                </w:r>
                <w:proofErr w:type="spellStart"/>
                <w:r>
                  <w:t>osseointegration</w:t>
                </w:r>
                <w:proofErr w:type="spellEnd"/>
                <w:r>
                  <w:t xml:space="preserve">, the implant will not maintain stability. </w:t>
                </w:r>
                <w:proofErr w:type="spellStart"/>
                <w:r>
                  <w:t>Osseointegration</w:t>
                </w:r>
                <w:proofErr w:type="spellEnd"/>
                <w:r>
                  <w:t xml:space="preserve"> can be defined as a structural and functional connection between newly formed bone and the</w:t>
                </w:r>
                <w:r w:rsidR="00816795">
                  <w:t xml:space="preserve"> surface of the load-carrying implant</w:t>
                </w:r>
                <w:r>
                  <w:t xml:space="preserve">. </w:t>
                </w:r>
                <w:r w:rsidR="0006611B">
                  <w:t>It involves interlocking between the bon</w:t>
                </w:r>
                <w:r w:rsidR="00816795">
                  <w:t xml:space="preserve">e and implant surface and then </w:t>
                </w:r>
                <w:r w:rsidR="0006611B">
                  <w:t>continuous bone remodeling toward the implant.</w:t>
                </w:r>
              </w:p>
              <w:p w:rsidR="0006611B" w:rsidRDefault="0006611B" w:rsidP="00D03664">
                <w:r>
                  <w:tab/>
                </w:r>
                <w:proofErr w:type="spellStart"/>
                <w:r>
                  <w:t>Osseointegration</w:t>
                </w:r>
                <w:proofErr w:type="spellEnd"/>
                <w:r>
                  <w:t xml:space="preserve"> can be broken down into three steps: early immune-inflammatory response, angiogenesis, and </w:t>
                </w:r>
                <w:proofErr w:type="spellStart"/>
                <w:r>
                  <w:t>osteogenesis</w:t>
                </w:r>
                <w:proofErr w:type="spellEnd"/>
                <w:r>
                  <w:t xml:space="preserve">. When the implant is placed into bone, there will be an early immune response within 24 hours. </w:t>
                </w:r>
                <w:proofErr w:type="spellStart"/>
                <w:r>
                  <w:t>Neutrophils</w:t>
                </w:r>
                <w:proofErr w:type="spellEnd"/>
                <w:r>
                  <w:t xml:space="preserve"> will dominate the area from a result of broken blood vessels surrounding the implant</w:t>
                </w:r>
                <w:r w:rsidR="0067657C">
                  <w:t xml:space="preserve"> initiating an immune response</w:t>
                </w:r>
                <w:r>
                  <w:t xml:space="preserve">. Within two to four days, macrophages and </w:t>
                </w:r>
                <w:proofErr w:type="spellStart"/>
                <w:r>
                  <w:t>monocytes</w:t>
                </w:r>
                <w:proofErr w:type="spellEnd"/>
                <w:r>
                  <w:t xml:space="preserve"> will migrate to the implant site. Thes</w:t>
                </w:r>
                <w:r w:rsidR="0067657C">
                  <w:t>e immune cells remove debris as well as secrete</w:t>
                </w:r>
                <w:r>
                  <w:t xml:space="preserve"> cytokines and growth factors. Cytokines and growth factors will recruit </w:t>
                </w:r>
                <w:proofErr w:type="spellStart"/>
                <w:r>
                  <w:t>m</w:t>
                </w:r>
                <w:r w:rsidR="00BB183D">
                  <w:t>e</w:t>
                </w:r>
                <w:r>
                  <w:t>senchymal</w:t>
                </w:r>
                <w:proofErr w:type="spellEnd"/>
                <w:r>
                  <w:t xml:space="preserve"> cells and contribute to angiogenesis. </w:t>
                </w:r>
              </w:p>
              <w:p w:rsidR="00BB183D" w:rsidRDefault="0006611B" w:rsidP="00D03664">
                <w:r>
                  <w:tab/>
                  <w:t>After the initial immune response to the implant placement, angiogenesis increas</w:t>
                </w:r>
                <w:r w:rsidR="00BB183D">
                  <w:t xml:space="preserve">es. However, the immune response and angiogenesis are occurring </w:t>
                </w:r>
                <w:r w:rsidR="00B07260">
                  <w:t>simultaneously</w:t>
                </w:r>
                <w:r w:rsidR="00BB183D">
                  <w:t xml:space="preserve"> after the implant is placed into </w:t>
                </w:r>
                <w:r w:rsidR="00816795">
                  <w:t xml:space="preserve">the </w:t>
                </w:r>
                <w:r w:rsidR="00BB183D">
                  <w:t xml:space="preserve">alveolar bone. After the first day of implantation, a blood clot will form next to the implant surface. New blood vessels begin to form within 24 hours. With the help of macrophages and </w:t>
                </w:r>
                <w:proofErr w:type="spellStart"/>
                <w:r w:rsidR="00BB183D">
                  <w:t>monocytes</w:t>
                </w:r>
                <w:proofErr w:type="spellEnd"/>
                <w:r w:rsidR="00BB183D">
                  <w:t xml:space="preserve"> </w:t>
                </w:r>
                <w:proofErr w:type="spellStart"/>
                <w:r w:rsidR="00BB183D">
                  <w:t>influxing</w:t>
                </w:r>
                <w:proofErr w:type="spellEnd"/>
                <w:r w:rsidR="00BB183D">
                  <w:t xml:space="preserve"> to the area within two to four day</w:t>
                </w:r>
                <w:r w:rsidR="00B07260">
                  <w:t>s</w:t>
                </w:r>
                <w:r w:rsidR="00BB183D">
                  <w:t xml:space="preserve">, </w:t>
                </w:r>
                <w:proofErr w:type="spellStart"/>
                <w:r w:rsidR="00BB183D">
                  <w:t>neovascularization</w:t>
                </w:r>
                <w:proofErr w:type="spellEnd"/>
                <w:r w:rsidR="00BB183D">
                  <w:t xml:space="preserve"> is increased. These cells help recruit </w:t>
                </w:r>
                <w:proofErr w:type="spellStart"/>
                <w:r w:rsidR="00BB183D">
                  <w:t>mesenchymal</w:t>
                </w:r>
                <w:proofErr w:type="spellEnd"/>
                <w:r w:rsidR="00BB183D">
                  <w:t xml:space="preserve"> cells from the bone marrow around the newly formed blood vessels. </w:t>
                </w:r>
                <w:proofErr w:type="spellStart"/>
                <w:r w:rsidR="00BB183D">
                  <w:t>Mesenchymal</w:t>
                </w:r>
                <w:proofErr w:type="spellEnd"/>
                <w:r w:rsidR="00BB183D">
                  <w:t xml:space="preserve"> cells will differen</w:t>
                </w:r>
                <w:r w:rsidR="00B07260">
                  <w:t xml:space="preserve">tiate into </w:t>
                </w:r>
                <w:proofErr w:type="spellStart"/>
                <w:r w:rsidR="00B07260">
                  <w:t>osteoblasts</w:t>
                </w:r>
                <w:proofErr w:type="spellEnd"/>
                <w:r w:rsidR="00B07260">
                  <w:t xml:space="preserve"> and begin</w:t>
                </w:r>
                <w:r w:rsidR="00BB183D">
                  <w:t xml:space="preserve"> to attach to the implant surface.</w:t>
                </w:r>
              </w:p>
              <w:p w:rsidR="009E5F3C" w:rsidRDefault="00BB183D" w:rsidP="00D03664">
                <w:r>
                  <w:tab/>
                  <w:t xml:space="preserve">The last step of </w:t>
                </w:r>
                <w:proofErr w:type="spellStart"/>
                <w:r>
                  <w:t>osseointegration</w:t>
                </w:r>
                <w:proofErr w:type="spellEnd"/>
                <w:r>
                  <w:t xml:space="preserve"> is the formation of new bone through a process called </w:t>
                </w:r>
                <w:proofErr w:type="spellStart"/>
                <w:r>
                  <w:t>osteogenesis</w:t>
                </w:r>
                <w:proofErr w:type="spellEnd"/>
                <w:r>
                  <w:t>. Within five to seven days, new woven bone will form in the gap between the implant and host bone. By</w:t>
                </w:r>
                <w:r w:rsidR="00B07260">
                  <w:t xml:space="preserve"> four weeks, new bone </w:t>
                </w:r>
                <w:r>
                  <w:t>will contin</w:t>
                </w:r>
                <w:r w:rsidR="00A226DA">
                  <w:t>ue to grow on the implant surface</w:t>
                </w:r>
                <w:r>
                  <w:t xml:space="preserve"> which is referred to as contact </w:t>
                </w:r>
                <w:proofErr w:type="spellStart"/>
                <w:r>
                  <w:t>osteogenesis</w:t>
                </w:r>
                <w:proofErr w:type="spellEnd"/>
                <w:r w:rsidR="00A226DA">
                  <w:t xml:space="preserve"> and start to connect with new bone forming on the host bone which is distant </w:t>
                </w:r>
                <w:proofErr w:type="spellStart"/>
                <w:r w:rsidR="00A226DA">
                  <w:t>osteogenesis</w:t>
                </w:r>
                <w:proofErr w:type="spellEnd"/>
                <w:r w:rsidR="00A226DA">
                  <w:t xml:space="preserve">. </w:t>
                </w:r>
                <w:r w:rsidR="00B07260">
                  <w:t>After eight to twelve</w:t>
                </w:r>
                <w:r w:rsidR="00A226DA">
                  <w:t xml:space="preserve"> weeks, the interface between the </w:t>
                </w:r>
                <w:proofErr w:type="spellStart"/>
                <w:r w:rsidR="00A226DA">
                  <w:t>periodontium</w:t>
                </w:r>
                <w:proofErr w:type="spellEnd"/>
                <w:r w:rsidR="00A226DA">
                  <w:t xml:space="preserve"> and the implant surface will be completely replaced by mature lamellar bone. The regular parallel alignment of collagen fibers within lamellar bone makes it mechanically strong. At this point, the implant is secured and stable within the alveolar bone. The bone structure </w:t>
                </w:r>
                <w:r w:rsidR="00816795">
                  <w:t xml:space="preserve">will undergo constant remodeling in order to adapt to the load of the implant </w:t>
                </w:r>
                <w:r w:rsidR="00CA7092">
                  <w:t>which will prevent failure.</w:t>
                </w:r>
                <w:r w:rsidR="00A226DA">
                  <w:t xml:space="preserve"> All of these steps of </w:t>
                </w:r>
                <w:proofErr w:type="spellStart"/>
                <w:r w:rsidR="00A226DA">
                  <w:t>osseointegration</w:t>
                </w:r>
                <w:proofErr w:type="spellEnd"/>
                <w:r w:rsidR="00A226DA">
                  <w:t xml:space="preserve"> are crucial in determining long term success of the dental implant. </w:t>
                </w:r>
              </w:p>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Content>
            <w:tc>
              <w:tcPr>
                <w:tcW w:w="9576" w:type="dxa"/>
              </w:tcPr>
              <w:p w:rsidR="00985788" w:rsidRDefault="00C6405D" w:rsidP="00985788">
                <w:pPr>
                  <w:rPr>
                    <w:i/>
                    <w:iCs/>
                    <w:color w:val="212121"/>
                    <w:szCs w:val="24"/>
                    <w:shd w:val="clear" w:color="auto" w:fill="FFFFFF"/>
                  </w:rPr>
                </w:pPr>
                <w:proofErr w:type="spellStart"/>
                <w:r w:rsidRPr="00C6405D">
                  <w:rPr>
                    <w:color w:val="212121"/>
                    <w:szCs w:val="24"/>
                    <w:shd w:val="clear" w:color="auto" w:fill="FFFFFF"/>
                  </w:rPr>
                  <w:t>Parithimarkalaignan</w:t>
                </w:r>
                <w:proofErr w:type="spellEnd"/>
                <w:r w:rsidRPr="00C6405D">
                  <w:rPr>
                    <w:color w:val="212121"/>
                    <w:szCs w:val="24"/>
                    <w:shd w:val="clear" w:color="auto" w:fill="FFFFFF"/>
                  </w:rPr>
                  <w:t xml:space="preserve">, S., &amp; </w:t>
                </w:r>
                <w:proofErr w:type="spellStart"/>
                <w:r w:rsidRPr="00C6405D">
                  <w:rPr>
                    <w:color w:val="212121"/>
                    <w:szCs w:val="24"/>
                    <w:shd w:val="clear" w:color="auto" w:fill="FFFFFF"/>
                  </w:rPr>
                  <w:t>Padmanabhan</w:t>
                </w:r>
                <w:proofErr w:type="spellEnd"/>
                <w:r w:rsidRPr="00C6405D">
                  <w:rPr>
                    <w:color w:val="212121"/>
                    <w:szCs w:val="24"/>
                    <w:shd w:val="clear" w:color="auto" w:fill="FFFFFF"/>
                  </w:rPr>
                  <w:t xml:space="preserve">, T. V. (2013). </w:t>
                </w:r>
                <w:proofErr w:type="spellStart"/>
                <w:r w:rsidRPr="00C6405D">
                  <w:rPr>
                    <w:color w:val="212121"/>
                    <w:szCs w:val="24"/>
                    <w:shd w:val="clear" w:color="auto" w:fill="FFFFFF"/>
                  </w:rPr>
                  <w:t>Osseointegration</w:t>
                </w:r>
                <w:proofErr w:type="spellEnd"/>
                <w:r w:rsidRPr="00C6405D">
                  <w:rPr>
                    <w:color w:val="212121"/>
                    <w:szCs w:val="24"/>
                    <w:shd w:val="clear" w:color="auto" w:fill="FFFFFF"/>
                  </w:rPr>
                  <w:t>: an update. </w:t>
                </w:r>
                <w:r w:rsidRPr="00C6405D">
                  <w:rPr>
                    <w:i/>
                    <w:iCs/>
                    <w:color w:val="212121"/>
                    <w:szCs w:val="24"/>
                    <w:shd w:val="clear" w:color="auto" w:fill="FFFFFF"/>
                  </w:rPr>
                  <w:t xml:space="preserve">Journal of </w:t>
                </w:r>
              </w:p>
              <w:p w:rsidR="00C6405D" w:rsidRDefault="00985788" w:rsidP="00985788">
                <w:pPr>
                  <w:rPr>
                    <w:color w:val="212121"/>
                    <w:szCs w:val="24"/>
                    <w:shd w:val="clear" w:color="auto" w:fill="FFFFFF"/>
                  </w:rPr>
                </w:pPr>
                <w:r>
                  <w:rPr>
                    <w:i/>
                    <w:iCs/>
                    <w:color w:val="212121"/>
                    <w:szCs w:val="24"/>
                    <w:shd w:val="clear" w:color="auto" w:fill="FFFFFF"/>
                  </w:rPr>
                  <w:tab/>
                </w:r>
                <w:r w:rsidR="00C6405D" w:rsidRPr="00C6405D">
                  <w:rPr>
                    <w:i/>
                    <w:iCs/>
                    <w:color w:val="212121"/>
                    <w:szCs w:val="24"/>
                    <w:shd w:val="clear" w:color="auto" w:fill="FFFFFF"/>
                  </w:rPr>
                  <w:t xml:space="preserve">Indian </w:t>
                </w:r>
                <w:proofErr w:type="spellStart"/>
                <w:r w:rsidR="00C6405D" w:rsidRPr="00C6405D">
                  <w:rPr>
                    <w:i/>
                    <w:iCs/>
                    <w:color w:val="212121"/>
                    <w:szCs w:val="24"/>
                    <w:shd w:val="clear" w:color="auto" w:fill="FFFFFF"/>
                  </w:rPr>
                  <w:t>Prosthodontic</w:t>
                </w:r>
                <w:proofErr w:type="spellEnd"/>
                <w:r w:rsidR="00C6405D" w:rsidRPr="00C6405D">
                  <w:rPr>
                    <w:i/>
                    <w:iCs/>
                    <w:color w:val="212121"/>
                    <w:szCs w:val="24"/>
                    <w:shd w:val="clear" w:color="auto" w:fill="FFFFFF"/>
                  </w:rPr>
                  <w:t xml:space="preserve"> Society</w:t>
                </w:r>
                <w:r w:rsidR="00C6405D" w:rsidRPr="00C6405D">
                  <w:rPr>
                    <w:color w:val="212121"/>
                    <w:szCs w:val="24"/>
                    <w:shd w:val="clear" w:color="auto" w:fill="FFFFFF"/>
                  </w:rPr>
                  <w:t>, </w:t>
                </w:r>
                <w:r w:rsidR="00C6405D" w:rsidRPr="00C6405D">
                  <w:rPr>
                    <w:i/>
                    <w:iCs/>
                    <w:color w:val="212121"/>
                    <w:szCs w:val="24"/>
                    <w:shd w:val="clear" w:color="auto" w:fill="FFFFFF"/>
                  </w:rPr>
                  <w:t>13</w:t>
                </w:r>
                <w:r w:rsidR="00C6405D" w:rsidRPr="00C6405D">
                  <w:rPr>
                    <w:color w:val="212121"/>
                    <w:szCs w:val="24"/>
                    <w:shd w:val="clear" w:color="auto" w:fill="FFFFFF"/>
                  </w:rPr>
                  <w:t xml:space="preserve">(1), </w:t>
                </w:r>
                <w:r>
                  <w:rPr>
                    <w:color w:val="212121"/>
                    <w:szCs w:val="24"/>
                    <w:shd w:val="clear" w:color="auto" w:fill="FFFFFF"/>
                  </w:rPr>
                  <w:t>2–6.</w:t>
                </w:r>
              </w:p>
              <w:p w:rsidR="00985788" w:rsidRDefault="00C6405D" w:rsidP="00985788">
                <w:pPr>
                  <w:rPr>
                    <w:color w:val="212121"/>
                    <w:szCs w:val="24"/>
                    <w:shd w:val="clear" w:color="auto" w:fill="FFFFFF"/>
                  </w:rPr>
                </w:pPr>
                <w:r w:rsidRPr="00CA324B">
                  <w:rPr>
                    <w:color w:val="212121"/>
                    <w:szCs w:val="24"/>
                    <w:shd w:val="clear" w:color="auto" w:fill="FFFFFF"/>
                  </w:rPr>
                  <w:t xml:space="preserve">Wang, Y., Zhang, Y., &amp; </w:t>
                </w:r>
                <w:proofErr w:type="spellStart"/>
                <w:r w:rsidRPr="00CA324B">
                  <w:rPr>
                    <w:color w:val="212121"/>
                    <w:szCs w:val="24"/>
                    <w:shd w:val="clear" w:color="auto" w:fill="FFFFFF"/>
                  </w:rPr>
                  <w:t>Miron</w:t>
                </w:r>
                <w:proofErr w:type="spellEnd"/>
                <w:r w:rsidRPr="00CA324B">
                  <w:rPr>
                    <w:color w:val="212121"/>
                    <w:szCs w:val="24"/>
                    <w:shd w:val="clear" w:color="auto" w:fill="FFFFFF"/>
                  </w:rPr>
                  <w:t xml:space="preserve">, R. J. (2016). Health, Maintenance, and Recovery of Soft Tissues </w:t>
                </w:r>
              </w:p>
              <w:p w:rsidR="009E5F3C" w:rsidRPr="00C6405D" w:rsidRDefault="00C6405D" w:rsidP="00985788">
                <w:pPr>
                  <w:ind w:firstLine="720"/>
                  <w:rPr>
                    <w:szCs w:val="24"/>
                  </w:rPr>
                </w:pPr>
                <w:proofErr w:type="gramStart"/>
                <w:r w:rsidRPr="00CA324B">
                  <w:rPr>
                    <w:color w:val="212121"/>
                    <w:szCs w:val="24"/>
                    <w:shd w:val="clear" w:color="auto" w:fill="FFFFFF"/>
                  </w:rPr>
                  <w:t>around</w:t>
                </w:r>
                <w:proofErr w:type="gramEnd"/>
                <w:r w:rsidRPr="00CA324B">
                  <w:rPr>
                    <w:color w:val="212121"/>
                    <w:szCs w:val="24"/>
                    <w:shd w:val="clear" w:color="auto" w:fill="FFFFFF"/>
                  </w:rPr>
                  <w:t xml:space="preserve"> Implants. </w:t>
                </w:r>
                <w:r w:rsidRPr="00CA324B">
                  <w:rPr>
                    <w:i/>
                    <w:iCs/>
                    <w:color w:val="212121"/>
                    <w:szCs w:val="24"/>
                    <w:shd w:val="clear" w:color="auto" w:fill="FFFFFF"/>
                  </w:rPr>
                  <w:t>Clinical implant dentistry and related research</w:t>
                </w:r>
                <w:r w:rsidRPr="00CA324B">
                  <w:rPr>
                    <w:color w:val="212121"/>
                    <w:szCs w:val="24"/>
                    <w:shd w:val="clear" w:color="auto" w:fill="FFFFFF"/>
                  </w:rPr>
                  <w:t>, </w:t>
                </w:r>
                <w:r w:rsidRPr="00CA324B">
                  <w:rPr>
                    <w:i/>
                    <w:iCs/>
                    <w:color w:val="212121"/>
                    <w:szCs w:val="24"/>
                    <w:shd w:val="clear" w:color="auto" w:fill="FFFFFF"/>
                  </w:rPr>
                  <w:t>18</w:t>
                </w:r>
                <w:r w:rsidRPr="00CA324B">
                  <w:rPr>
                    <w:color w:val="212121"/>
                    <w:szCs w:val="24"/>
                    <w:shd w:val="clear" w:color="auto" w:fill="FFFFFF"/>
                  </w:rPr>
                  <w:t>(3), 618–634.</w:t>
                </w:r>
              </w:p>
            </w:tc>
          </w:sdtContent>
        </w:sdt>
      </w:tr>
    </w:tbl>
    <w:p w:rsidR="00DF1FAB" w:rsidRPr="00292BEF" w:rsidRDefault="00DF1FAB" w:rsidP="00292BEF"/>
    <w:sectPr w:rsidR="00DF1FAB" w:rsidRPr="00292BEF" w:rsidSect="00EA25BF">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F1" w:rsidRDefault="009846F1" w:rsidP="00292BEF">
      <w:r>
        <w:separator/>
      </w:r>
    </w:p>
  </w:endnote>
  <w:endnote w:type="continuationSeparator" w:id="0">
    <w:p w:rsidR="009846F1" w:rsidRDefault="009846F1" w:rsidP="00292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F1" w:rsidRDefault="009846F1" w:rsidP="00292BEF">
      <w:r>
        <w:separator/>
      </w:r>
    </w:p>
  </w:footnote>
  <w:footnote w:type="continuationSeparator" w:id="0">
    <w:p w:rsidR="009846F1" w:rsidRDefault="009846F1" w:rsidP="00292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34964"/>
    <w:multiLevelType w:val="hybridMultilevel"/>
    <w:tmpl w:val="FA645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292BEF"/>
    <w:rsid w:val="00036D78"/>
    <w:rsid w:val="0006611B"/>
    <w:rsid w:val="002223D1"/>
    <w:rsid w:val="00246C4B"/>
    <w:rsid w:val="00292BEF"/>
    <w:rsid w:val="003440A0"/>
    <w:rsid w:val="0067657C"/>
    <w:rsid w:val="006B50F8"/>
    <w:rsid w:val="007B6610"/>
    <w:rsid w:val="00816795"/>
    <w:rsid w:val="009846F1"/>
    <w:rsid w:val="00985788"/>
    <w:rsid w:val="009E5F3C"/>
    <w:rsid w:val="00A226DA"/>
    <w:rsid w:val="00B07260"/>
    <w:rsid w:val="00B50056"/>
    <w:rsid w:val="00BB183D"/>
    <w:rsid w:val="00C6405D"/>
    <w:rsid w:val="00CA07DB"/>
    <w:rsid w:val="00CA1BEB"/>
    <w:rsid w:val="00CA7092"/>
    <w:rsid w:val="00D03664"/>
    <w:rsid w:val="00DF1FAB"/>
    <w:rsid w:val="00EA25BF"/>
    <w:rsid w:val="00EE2316"/>
    <w:rsid w:val="00F35049"/>
    <w:rsid w:val="00F96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0" w:qFormat="1"/>
    <w:lsdException w:name="Title" w:semiHidden="0" w:uiPriority="0" w:unhideWhenUsed="0" w:qFormat="1"/>
    <w:lsdException w:name="Default Paragraph Font" w:locked="0" w:uiPriority="1"/>
    <w:lsdException w:name="Subtitle" w:semiHidden="0" w:uiPriority="0" w:unhideWhenUsed="0" w:qFormat="1"/>
    <w:lsdException w:name="Strong" w:semiHidden="0" w:uiPriority="0" w:unhideWhenUsed="0" w:qFormat="1"/>
    <w:lsdException w:name="Emphasis" w:semiHidden="0" w:uiPriority="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C6405D"/>
    <w:pPr>
      <w:widowControl/>
      <w:spacing w:after="200" w:line="276" w:lineRule="auto"/>
      <w:ind w:left="720"/>
      <w:contextualSpacing/>
    </w:pPr>
    <w:rPr>
      <w:rFonts w:asciiTheme="minorHAnsi" w:eastAsiaTheme="minorHAnsi" w:hAnsiTheme="minorHAnsi" w:cstheme="minorBidi"/>
      <w:snapToGrid/>
      <w:sz w:val="22"/>
      <w:szCs w:val="22"/>
    </w:rPr>
  </w:style>
  <w:style w:type="character" w:styleId="Hyperlink">
    <w:name w:val="Hyperlink"/>
    <w:basedOn w:val="DefaultParagraphFont"/>
    <w:uiPriority w:val="99"/>
    <w:unhideWhenUsed/>
    <w:locked/>
    <w:rsid w:val="00C640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F217F"/>
    <w:rsid w:val="0001103E"/>
    <w:rsid w:val="00080ED1"/>
    <w:rsid w:val="00091B07"/>
    <w:rsid w:val="002F217F"/>
    <w:rsid w:val="00347B69"/>
    <w:rsid w:val="0047423F"/>
    <w:rsid w:val="0064749E"/>
    <w:rsid w:val="008806B5"/>
    <w:rsid w:val="009D0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Tim Ryan</cp:lastModifiedBy>
  <cp:revision>4</cp:revision>
  <dcterms:created xsi:type="dcterms:W3CDTF">2020-09-22T14:00:00Z</dcterms:created>
  <dcterms:modified xsi:type="dcterms:W3CDTF">2020-09-23T18:01:00Z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