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12F5" w:rsidRDefault="004112F5" w:rsidP="00692E4D">
      <w:pPr>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rsidTr="002E6FF2">
        <w:tc>
          <w:tcPr>
            <w:tcW w:w="8640" w:type="dxa"/>
          </w:tcPr>
          <w:p w:rsidR="00692E4D" w:rsidRDefault="00692E4D" w:rsidP="00692E4D">
            <w:pPr>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EndPr/>
          <w:sdtContent>
            <w:tc>
              <w:tcPr>
                <w:tcW w:w="8640" w:type="dxa"/>
              </w:tcPr>
              <w:p w:rsidR="00692E4D" w:rsidRDefault="000C432A" w:rsidP="002972EE">
                <w:pPr>
                  <w:rPr>
                    <w:b/>
                  </w:rPr>
                </w:pPr>
                <w:r>
                  <w:rPr>
                    <w:b/>
                  </w:rPr>
                  <w:t>6A-4</w:t>
                </w:r>
              </w:p>
            </w:tc>
          </w:sdtContent>
        </w:sdt>
      </w:tr>
      <w:tr w:rsidR="00692E4D" w:rsidTr="002E6FF2">
        <w:tc>
          <w:tcPr>
            <w:tcW w:w="8640" w:type="dxa"/>
          </w:tcPr>
          <w:p w:rsidR="00692E4D" w:rsidRDefault="00692E4D" w:rsidP="00692E4D">
            <w:pPr>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EndPr/>
          <w:sdtContent>
            <w:tc>
              <w:tcPr>
                <w:tcW w:w="8640" w:type="dxa"/>
              </w:tcPr>
              <w:p w:rsidR="00692E4D" w:rsidRDefault="000C432A" w:rsidP="00692E4D">
                <w:pPr>
                  <w:rPr>
                    <w:b/>
                  </w:rPr>
                </w:pPr>
                <w:r>
                  <w:rPr>
                    <w:b/>
                  </w:rPr>
                  <w:t>Drew Gottwald, Hien Doan, Christina Chen and Alice Zheng</w:t>
                </w:r>
              </w:p>
            </w:tc>
          </w:sdtContent>
        </w:sdt>
      </w:tr>
      <w:tr w:rsidR="00692E4D" w:rsidTr="002E6FF2">
        <w:tc>
          <w:tcPr>
            <w:tcW w:w="8640" w:type="dxa"/>
          </w:tcPr>
          <w:p w:rsidR="00692E4D" w:rsidRDefault="00692E4D" w:rsidP="00692E4D">
            <w:pPr>
              <w:rPr>
                <w:b/>
              </w:rPr>
            </w:pPr>
            <w:r w:rsidRPr="00974240">
              <w:rPr>
                <w:b/>
              </w:rPr>
              <w:t>Clinical Question:</w:t>
            </w:r>
          </w:p>
        </w:tc>
      </w:tr>
      <w:tr w:rsidR="00692E4D" w:rsidTr="002E6FF2">
        <w:sdt>
          <w:sdtPr>
            <w:rPr>
              <w:b/>
            </w:rPr>
            <w:id w:val="-1425953839"/>
            <w:placeholder>
              <w:docPart w:val="CB28A101A52146ED8ABC0548D1368A93"/>
            </w:placeholder>
          </w:sdtPr>
          <w:sdtEndPr/>
          <w:sdtContent>
            <w:tc>
              <w:tcPr>
                <w:tcW w:w="8640" w:type="dxa"/>
              </w:tcPr>
              <w:p w:rsidR="00692E4D" w:rsidRPr="00482184" w:rsidRDefault="00482184" w:rsidP="00692E4D">
                <w:r>
                  <w:rPr>
                    <w:rFonts w:ascii="Arial" w:hAnsi="Arial" w:cs="Arial"/>
                    <w:color w:val="544C49"/>
                    <w:sz w:val="21"/>
                    <w:szCs w:val="21"/>
                    <w:shd w:val="clear" w:color="auto" w:fill="FFFFFF"/>
                  </w:rPr>
                  <w:t xml:space="preserve">How do we effectively communicate with this </w:t>
                </w:r>
                <w:proofErr w:type="gramStart"/>
                <w:r>
                  <w:rPr>
                    <w:rFonts w:ascii="Arial" w:hAnsi="Arial" w:cs="Arial"/>
                    <w:color w:val="544C49"/>
                    <w:sz w:val="21"/>
                    <w:szCs w:val="21"/>
                    <w:shd w:val="clear" w:color="auto" w:fill="FFFFFF"/>
                  </w:rPr>
                  <w:t>patients</w:t>
                </w:r>
                <w:proofErr w:type="gramEnd"/>
                <w:r>
                  <w:rPr>
                    <w:rFonts w:ascii="Arial" w:hAnsi="Arial" w:cs="Arial"/>
                    <w:color w:val="544C49"/>
                    <w:sz w:val="21"/>
                    <w:szCs w:val="21"/>
                    <w:shd w:val="clear" w:color="auto" w:fill="FFFFFF"/>
                  </w:rPr>
                  <w:t xml:space="preserve"> physician to determine if the </w:t>
                </w:r>
                <w:proofErr w:type="spellStart"/>
                <w:r>
                  <w:rPr>
                    <w:rFonts w:ascii="Arial" w:hAnsi="Arial" w:cs="Arial"/>
                    <w:color w:val="544C49"/>
                    <w:sz w:val="21"/>
                    <w:szCs w:val="21"/>
                    <w:shd w:val="clear" w:color="auto" w:fill="FFFFFF"/>
                  </w:rPr>
                  <w:t>patients</w:t>
                </w:r>
                <w:proofErr w:type="spellEnd"/>
                <w:r>
                  <w:rPr>
                    <w:rFonts w:ascii="Arial" w:hAnsi="Arial" w:cs="Arial"/>
                    <w:color w:val="544C49"/>
                    <w:sz w:val="21"/>
                    <w:szCs w:val="21"/>
                    <w:shd w:val="clear" w:color="auto" w:fill="FFFFFF"/>
                  </w:rPr>
                  <w:t xml:space="preserve"> medical conditions fall into parameters that allow us to safely treat the patient?</w:t>
                </w:r>
              </w:p>
            </w:tc>
          </w:sdtContent>
        </w:sdt>
      </w:tr>
      <w:tr w:rsidR="00692E4D" w:rsidTr="002E6FF2">
        <w:tc>
          <w:tcPr>
            <w:tcW w:w="8640" w:type="dxa"/>
          </w:tcPr>
          <w:p w:rsidR="00692E4D" w:rsidRDefault="00692E4D" w:rsidP="00692E4D">
            <w:pPr>
              <w:rPr>
                <w:b/>
              </w:rPr>
            </w:pPr>
            <w:r w:rsidRPr="00974240">
              <w:rPr>
                <w:b/>
              </w:rPr>
              <w:t>PICO Format:</w:t>
            </w:r>
          </w:p>
        </w:tc>
      </w:tr>
      <w:tr w:rsidR="00692E4D" w:rsidTr="002E6FF2">
        <w:tc>
          <w:tcPr>
            <w:tcW w:w="8640" w:type="dxa"/>
          </w:tcPr>
          <w:p w:rsidR="00692E4D" w:rsidRDefault="00692E4D" w:rsidP="00692E4D">
            <w:pPr>
              <w:rPr>
                <w:b/>
              </w:rPr>
            </w:pPr>
            <w:r>
              <w:rPr>
                <w:b/>
              </w:rPr>
              <w:t>P:</w:t>
            </w:r>
          </w:p>
        </w:tc>
      </w:tr>
      <w:tr w:rsidR="00692E4D" w:rsidTr="002E6FF2">
        <w:sdt>
          <w:sdtPr>
            <w:rPr>
              <w:b/>
            </w:rPr>
            <w:id w:val="514967572"/>
            <w:placeholder>
              <w:docPart w:val="0B496F479641478AA9C18C45B5269562"/>
            </w:placeholder>
          </w:sdtPr>
          <w:sdtEndPr/>
          <w:sdtContent>
            <w:tc>
              <w:tcPr>
                <w:tcW w:w="8640" w:type="dxa"/>
              </w:tcPr>
              <w:p w:rsidR="00692E4D" w:rsidRDefault="004E1CF8" w:rsidP="00692E4D">
                <w:pPr>
                  <w:rPr>
                    <w:b/>
                  </w:rPr>
                </w:pPr>
                <w:r>
                  <w:rPr>
                    <w:b/>
                  </w:rPr>
                  <w:t>Patient with uncontrolled diabetes</w:t>
                </w:r>
                <w:r w:rsidR="00371A8F">
                  <w:rPr>
                    <w:b/>
                  </w:rPr>
                  <w:t xml:space="preserve"> and recent MI</w:t>
                </w:r>
              </w:p>
            </w:tc>
          </w:sdtContent>
        </w:sdt>
      </w:tr>
      <w:tr w:rsidR="00692E4D" w:rsidTr="002E6FF2">
        <w:tc>
          <w:tcPr>
            <w:tcW w:w="8640" w:type="dxa"/>
          </w:tcPr>
          <w:p w:rsidR="00692E4D" w:rsidRDefault="00692E4D" w:rsidP="00692E4D">
            <w:pPr>
              <w:rPr>
                <w:b/>
              </w:rPr>
            </w:pPr>
            <w:r>
              <w:rPr>
                <w:b/>
              </w:rPr>
              <w:t>I:</w:t>
            </w:r>
          </w:p>
        </w:tc>
      </w:tr>
      <w:tr w:rsidR="00692E4D" w:rsidTr="002E6FF2">
        <w:sdt>
          <w:sdtPr>
            <w:rPr>
              <w:b/>
            </w:rPr>
            <w:id w:val="-2083594704"/>
            <w:placeholder>
              <w:docPart w:val="420E726688A04571878AAF0AAEBEC280"/>
            </w:placeholder>
          </w:sdtPr>
          <w:sdtEndPr/>
          <w:sdtContent>
            <w:tc>
              <w:tcPr>
                <w:tcW w:w="8640" w:type="dxa"/>
              </w:tcPr>
              <w:p w:rsidR="00692E4D" w:rsidRDefault="0049299E" w:rsidP="00692E4D">
                <w:pPr>
                  <w:rPr>
                    <w:b/>
                  </w:rPr>
                </w:pPr>
                <w:r>
                  <w:rPr>
                    <w:b/>
                  </w:rPr>
                  <w:t xml:space="preserve">Guidelines to </w:t>
                </w:r>
                <w:r w:rsidR="006A13A4">
                  <w:rPr>
                    <w:b/>
                  </w:rPr>
                  <w:t xml:space="preserve">safe dental practices/ </w:t>
                </w:r>
                <w:r>
                  <w:rPr>
                    <w:b/>
                  </w:rPr>
                  <w:t>treatment</w:t>
                </w:r>
              </w:p>
            </w:tc>
          </w:sdtContent>
        </w:sdt>
      </w:tr>
      <w:tr w:rsidR="00692E4D" w:rsidTr="002E6FF2">
        <w:tc>
          <w:tcPr>
            <w:tcW w:w="8640" w:type="dxa"/>
          </w:tcPr>
          <w:p w:rsidR="00692E4D" w:rsidRDefault="00692E4D" w:rsidP="00692E4D">
            <w:pPr>
              <w:rPr>
                <w:b/>
              </w:rPr>
            </w:pPr>
            <w:r>
              <w:rPr>
                <w:b/>
              </w:rPr>
              <w:t>C:</w:t>
            </w:r>
          </w:p>
        </w:tc>
      </w:tr>
      <w:tr w:rsidR="00692E4D" w:rsidTr="002E6FF2">
        <w:sdt>
          <w:sdtPr>
            <w:rPr>
              <w:b/>
            </w:rPr>
            <w:id w:val="2101905041"/>
            <w:placeholder>
              <w:docPart w:val="A4680AC4DEF54CC7849DE12213A3FF7E"/>
            </w:placeholder>
          </w:sdtPr>
          <w:sdtEndPr/>
          <w:sdtContent>
            <w:tc>
              <w:tcPr>
                <w:tcW w:w="8640" w:type="dxa"/>
              </w:tcPr>
              <w:p w:rsidR="00692E4D" w:rsidRDefault="006A13A4" w:rsidP="00692E4D">
                <w:pPr>
                  <w:rPr>
                    <w:b/>
                  </w:rPr>
                </w:pPr>
                <w:r>
                  <w:rPr>
                    <w:b/>
                  </w:rPr>
                  <w:t>Patient who are uncompromised/ healthy</w:t>
                </w:r>
              </w:p>
            </w:tc>
          </w:sdtContent>
        </w:sdt>
      </w:tr>
      <w:tr w:rsidR="00692E4D" w:rsidTr="002E6FF2">
        <w:tc>
          <w:tcPr>
            <w:tcW w:w="8640" w:type="dxa"/>
          </w:tcPr>
          <w:p w:rsidR="00692E4D" w:rsidRDefault="00692E4D" w:rsidP="00692E4D">
            <w:pPr>
              <w:rPr>
                <w:b/>
              </w:rPr>
            </w:pPr>
            <w:r>
              <w:rPr>
                <w:b/>
              </w:rPr>
              <w:t>O:</w:t>
            </w:r>
          </w:p>
        </w:tc>
      </w:tr>
      <w:tr w:rsidR="00692E4D" w:rsidTr="002E6FF2">
        <w:sdt>
          <w:sdtPr>
            <w:rPr>
              <w:b/>
            </w:rPr>
            <w:id w:val="1006642820"/>
            <w:placeholder>
              <w:docPart w:val="491FF049B12E4104A025C1A006DFA7B9"/>
            </w:placeholder>
          </w:sdtPr>
          <w:sdtEndPr/>
          <w:sdtContent>
            <w:tc>
              <w:tcPr>
                <w:tcW w:w="8640" w:type="dxa"/>
              </w:tcPr>
              <w:p w:rsidR="00692E4D" w:rsidRDefault="0049299E" w:rsidP="00692E4D">
                <w:pPr>
                  <w:rPr>
                    <w:b/>
                  </w:rPr>
                </w:pPr>
                <w:r>
                  <w:rPr>
                    <w:b/>
                  </w:rPr>
                  <w:t>Safe treatment</w:t>
                </w:r>
              </w:p>
            </w:tc>
          </w:sdtContent>
        </w:sdt>
      </w:tr>
      <w:tr w:rsidR="00692E4D" w:rsidTr="002E6FF2">
        <w:tc>
          <w:tcPr>
            <w:tcW w:w="8640" w:type="dxa"/>
          </w:tcPr>
          <w:p w:rsidR="00692E4D" w:rsidRDefault="00692E4D" w:rsidP="00692E4D">
            <w:pPr>
              <w:rPr>
                <w:b/>
              </w:rPr>
            </w:pPr>
            <w:r w:rsidRPr="00974240">
              <w:rPr>
                <w:b/>
              </w:rPr>
              <w:t>PICO Formatted Question:</w:t>
            </w:r>
          </w:p>
        </w:tc>
      </w:tr>
      <w:tr w:rsidR="00692E4D" w:rsidTr="002E6FF2">
        <w:sdt>
          <w:sdtPr>
            <w:rPr>
              <w:b/>
            </w:rPr>
            <w:id w:val="298496509"/>
            <w:placeholder>
              <w:docPart w:val="58AC952842CD48FCA1D1B8F39F5BBACF"/>
            </w:placeholder>
          </w:sdtPr>
          <w:sdtEndPr/>
          <w:sdtContent>
            <w:tc>
              <w:tcPr>
                <w:tcW w:w="8640" w:type="dxa"/>
              </w:tcPr>
              <w:p w:rsidR="00692E4D" w:rsidRDefault="006A13A4" w:rsidP="00692E4D">
                <w:pPr>
                  <w:rPr>
                    <w:b/>
                  </w:rPr>
                </w:pPr>
                <w:r>
                  <w:rPr>
                    <w:b/>
                  </w:rPr>
                  <w:t>How does the guideline for safe dental practices/treatment for patients with uncontrolled diabetes and recent MI compared to patients who are healthy?</w:t>
                </w:r>
              </w:p>
            </w:tc>
          </w:sdtContent>
        </w:sdt>
      </w:tr>
      <w:tr w:rsidR="00692E4D" w:rsidTr="002E6FF2">
        <w:tc>
          <w:tcPr>
            <w:tcW w:w="8640" w:type="dxa"/>
          </w:tcPr>
          <w:p w:rsidR="00692E4D" w:rsidRDefault="00692E4D" w:rsidP="00692E4D">
            <w:pPr>
              <w:rPr>
                <w:b/>
              </w:rPr>
            </w:pPr>
            <w:r>
              <w:rPr>
                <w:b/>
              </w:rPr>
              <w:t>Clinical Bottom Line:</w:t>
            </w:r>
          </w:p>
        </w:tc>
      </w:tr>
      <w:tr w:rsidR="00692E4D" w:rsidTr="002E6FF2">
        <w:sdt>
          <w:sdtPr>
            <w:rPr>
              <w:b/>
            </w:rPr>
            <w:id w:val="-510995683"/>
            <w:placeholder>
              <w:docPart w:val="12269E3C445F4AFF9F69E274B92646A1"/>
            </w:placeholder>
          </w:sdtPr>
          <w:sdtEndPr/>
          <w:sdtContent>
            <w:tc>
              <w:tcPr>
                <w:tcW w:w="8640" w:type="dxa"/>
              </w:tcPr>
              <w:p w:rsidR="00692E4D" w:rsidRDefault="00FF78B1" w:rsidP="00692E4D">
                <w:pPr>
                  <w:rPr>
                    <w:b/>
                  </w:rPr>
                </w:pPr>
                <w:r>
                  <w:rPr>
                    <w:b/>
                  </w:rPr>
                  <w:t xml:space="preserve">For patients with diabetes and a recent MI, </w:t>
                </w:r>
                <w:r w:rsidR="004B6EFE">
                  <w:rPr>
                    <w:b/>
                  </w:rPr>
                  <w:t>p</w:t>
                </w:r>
                <w:r w:rsidR="00821882">
                  <w:rPr>
                    <w:b/>
                  </w:rPr>
                  <w:t>atient should not receive any dental treatment for at least 6 months after their MI episode</w:t>
                </w:r>
                <w:r w:rsidR="00976015">
                  <w:rPr>
                    <w:b/>
                  </w:rPr>
                  <w:t xml:space="preserve">, INR and HBA1C should be determined before treatment. Dental treatment will then be dependent on how well controlled their blood sugar levels are. Consult with patient’s physician is highly encouraged. </w:t>
                </w:r>
              </w:p>
            </w:tc>
          </w:sdtContent>
        </w:sdt>
      </w:tr>
      <w:tr w:rsidR="00692E4D" w:rsidTr="002E6FF2">
        <w:tc>
          <w:tcPr>
            <w:tcW w:w="8640" w:type="dxa"/>
          </w:tcPr>
          <w:p w:rsidR="00692E4D" w:rsidRDefault="00692E4D" w:rsidP="00692E4D">
            <w:pPr>
              <w:rPr>
                <w:b/>
              </w:rPr>
            </w:pPr>
            <w:r>
              <w:rPr>
                <w:b/>
              </w:rPr>
              <w:t xml:space="preserve">Date(s) of Search:  </w:t>
            </w:r>
          </w:p>
        </w:tc>
      </w:tr>
      <w:tr w:rsidR="00692E4D" w:rsidTr="002E6FF2">
        <w:sdt>
          <w:sdtPr>
            <w:rPr>
              <w:b/>
            </w:rPr>
            <w:id w:val="-342713550"/>
            <w:placeholder>
              <w:docPart w:val="466C71B47DF74921A6B47A58D402D919"/>
            </w:placeholder>
          </w:sdtPr>
          <w:sdtEndPr/>
          <w:sdtContent>
            <w:tc>
              <w:tcPr>
                <w:tcW w:w="8640" w:type="dxa"/>
              </w:tcPr>
              <w:p w:rsidR="00692E4D" w:rsidRDefault="00A4302E" w:rsidP="00692E4D">
                <w:pPr>
                  <w:rPr>
                    <w:b/>
                  </w:rPr>
                </w:pPr>
                <w:r>
                  <w:rPr>
                    <w:b/>
                  </w:rPr>
                  <w:t xml:space="preserve">September 15, 2020 - </w:t>
                </w:r>
                <w:r w:rsidR="00203397">
                  <w:rPr>
                    <w:b/>
                  </w:rPr>
                  <w:t>September 21, 2020</w:t>
                </w:r>
              </w:p>
            </w:tc>
          </w:sdtContent>
        </w:sdt>
      </w:tr>
      <w:tr w:rsidR="00692E4D" w:rsidTr="002E6FF2">
        <w:tc>
          <w:tcPr>
            <w:tcW w:w="8640" w:type="dxa"/>
          </w:tcPr>
          <w:p w:rsidR="00692E4D" w:rsidRDefault="00692E4D" w:rsidP="00692E4D">
            <w:pPr>
              <w:rPr>
                <w:b/>
              </w:rPr>
            </w:pPr>
            <w:r w:rsidRPr="00974240">
              <w:rPr>
                <w:b/>
              </w:rPr>
              <w:t>Database(s) Used:</w:t>
            </w:r>
          </w:p>
        </w:tc>
      </w:tr>
      <w:tr w:rsidR="00692E4D" w:rsidTr="002E6FF2">
        <w:sdt>
          <w:sdtPr>
            <w:id w:val="-715277583"/>
            <w:placeholder>
              <w:docPart w:val="6AB78782A9C14C6FA3D51C027BBFB25B"/>
            </w:placeholder>
          </w:sdtPr>
          <w:sdtEndPr/>
          <w:sdtContent>
            <w:tc>
              <w:tcPr>
                <w:tcW w:w="8640" w:type="dxa"/>
              </w:tcPr>
              <w:p w:rsidR="00692E4D" w:rsidRPr="001E1923" w:rsidRDefault="001E1923" w:rsidP="001E1923">
                <w:r>
                  <w:t>PubMed</w:t>
                </w:r>
              </w:p>
            </w:tc>
          </w:sdtContent>
        </w:sdt>
      </w:tr>
      <w:tr w:rsidR="00692E4D" w:rsidTr="002E6FF2">
        <w:tc>
          <w:tcPr>
            <w:tcW w:w="8640" w:type="dxa"/>
          </w:tcPr>
          <w:p w:rsidR="00692E4D" w:rsidRPr="00974240" w:rsidRDefault="00692E4D" w:rsidP="00692E4D">
            <w:pPr>
              <w:rPr>
                <w:b/>
              </w:rPr>
            </w:pPr>
            <w:r w:rsidRPr="00974240">
              <w:rPr>
                <w:b/>
              </w:rPr>
              <w:t>Search Strategy/Keywords:</w:t>
            </w:r>
          </w:p>
        </w:tc>
      </w:tr>
      <w:tr w:rsidR="00692E4D" w:rsidTr="002E6FF2">
        <w:sdt>
          <w:sdtPr>
            <w:rPr>
              <w:b/>
            </w:rPr>
            <w:id w:val="-231853169"/>
            <w:placeholder>
              <w:docPart w:val="1A95CA3E8ED24FABAB9FCF2456258FBC"/>
            </w:placeholder>
          </w:sdtPr>
          <w:sdtEndPr/>
          <w:sdtContent>
            <w:tc>
              <w:tcPr>
                <w:tcW w:w="8640" w:type="dxa"/>
              </w:tcPr>
              <w:p w:rsidR="00692E4D" w:rsidRPr="00974240" w:rsidRDefault="00DB37BC" w:rsidP="00692E4D">
                <w:pPr>
                  <w:rPr>
                    <w:b/>
                  </w:rPr>
                </w:pPr>
                <w:r>
                  <w:rPr>
                    <w:b/>
                  </w:rPr>
                  <w:t>Dental Management, Type II Diabetes, Cardiovascular Disease, Myocardial Infarction (MI)</w:t>
                </w:r>
              </w:p>
            </w:tc>
          </w:sdtContent>
        </w:sdt>
      </w:tr>
      <w:tr w:rsidR="00692E4D" w:rsidTr="002E6FF2">
        <w:tc>
          <w:tcPr>
            <w:tcW w:w="8640" w:type="dxa"/>
          </w:tcPr>
          <w:p w:rsidR="00692E4D" w:rsidRPr="00974240" w:rsidRDefault="00692E4D" w:rsidP="00692E4D">
            <w:pPr>
              <w:rPr>
                <w:b/>
              </w:rPr>
            </w:pPr>
            <w:r>
              <w:rPr>
                <w:b/>
              </w:rPr>
              <w:t>MESH terms used:</w:t>
            </w:r>
          </w:p>
        </w:tc>
      </w:tr>
      <w:tr w:rsidR="00692E4D" w:rsidTr="002E6FF2">
        <w:sdt>
          <w:sdtPr>
            <w:rPr>
              <w:b/>
            </w:rPr>
            <w:id w:val="1890758709"/>
            <w:placeholder>
              <w:docPart w:val="7E910305951F4A7C93AA7626015B1AED"/>
            </w:placeholder>
          </w:sdtPr>
          <w:sdtEndPr/>
          <w:sdtContent>
            <w:tc>
              <w:tcPr>
                <w:tcW w:w="8640" w:type="dxa"/>
              </w:tcPr>
              <w:p w:rsidR="00692E4D" w:rsidRPr="00974240" w:rsidRDefault="00DB37BC" w:rsidP="00692E4D">
                <w:pPr>
                  <w:rPr>
                    <w:b/>
                  </w:rPr>
                </w:pPr>
                <w:r>
                  <w:rPr>
                    <w:b/>
                  </w:rPr>
                  <w:t>Dental management, dental guidelines, diabetes, myocardial infarction</w:t>
                </w:r>
                <w:r w:rsidR="00EA5D8F">
                  <w:rPr>
                    <w:b/>
                  </w:rPr>
                  <w:t>, cardiovascular complications</w:t>
                </w:r>
              </w:p>
            </w:tc>
          </w:sdtContent>
        </w:sdt>
      </w:tr>
      <w:tr w:rsidR="00692E4D" w:rsidTr="002E6FF2">
        <w:tc>
          <w:tcPr>
            <w:tcW w:w="8640" w:type="dxa"/>
          </w:tcPr>
          <w:p w:rsidR="00692E4D" w:rsidRPr="00974240" w:rsidRDefault="00692E4D" w:rsidP="00692E4D">
            <w:pPr>
              <w:rPr>
                <w:b/>
              </w:rPr>
            </w:pPr>
            <w:r w:rsidRPr="00974240">
              <w:rPr>
                <w:b/>
              </w:rPr>
              <w:t>Article(s) Cited:</w:t>
            </w:r>
          </w:p>
        </w:tc>
      </w:tr>
      <w:tr w:rsidR="00692E4D" w:rsidTr="002E6FF2">
        <w:sdt>
          <w:sdtPr>
            <w:id w:val="-938752678"/>
            <w:placeholder>
              <w:docPart w:val="E8F2534F808F4ECBB4F5D259E7F4B4F2"/>
            </w:placeholder>
          </w:sdtPr>
          <w:sdtEndPr/>
          <w:sdtContent>
            <w:tc>
              <w:tcPr>
                <w:tcW w:w="8640" w:type="dxa"/>
              </w:tcPr>
              <w:p w:rsidR="00A24F93" w:rsidRPr="003A275D" w:rsidRDefault="00A24F93" w:rsidP="003A275D"/>
              <w:p w:rsidR="003A275D" w:rsidRPr="003A275D" w:rsidRDefault="003A275D" w:rsidP="003A275D">
                <w:pPr>
                  <w:pStyle w:val="ListParagraph"/>
                  <w:numPr>
                    <w:ilvl w:val="0"/>
                    <w:numId w:val="12"/>
                  </w:numPr>
                </w:pPr>
                <w:r>
                  <w:t>RAJESH V. LALLA, JOSEPH A. D'AMBROSIO</w:t>
                </w:r>
                <w:r>
                  <w:t xml:space="preserve">. </w:t>
                </w:r>
                <w:r w:rsidRPr="003A275D">
                  <w:t>Dental management considerations for the patient with diabetes mellitus,</w:t>
                </w:r>
                <w:r>
                  <w:t xml:space="preserve"> </w:t>
                </w:r>
                <w:r w:rsidRPr="003A275D">
                  <w:t>The Journal of the American Dental Association,</w:t>
                </w:r>
                <w:r>
                  <w:t xml:space="preserve"> </w:t>
                </w:r>
                <w:r w:rsidRPr="003A275D">
                  <w:t>Volume 132, Issue 10,</w:t>
                </w:r>
                <w:r>
                  <w:t xml:space="preserve"> </w:t>
                </w:r>
                <w:r w:rsidRPr="003A275D">
                  <w:t>200</w:t>
                </w:r>
                <w:r>
                  <w:t>1</w:t>
                </w:r>
              </w:p>
              <w:p w:rsidR="00CB746A" w:rsidRPr="00CB746A" w:rsidRDefault="00A24F93" w:rsidP="00CB746A">
                <w:pPr>
                  <w:pStyle w:val="NormalWeb"/>
                  <w:numPr>
                    <w:ilvl w:val="0"/>
                    <w:numId w:val="12"/>
                  </w:numPr>
                  <w:rPr>
                    <w:rStyle w:val="apple-converted-space"/>
                    <w:color w:val="000000"/>
                  </w:rPr>
                </w:pPr>
                <w:r>
                  <w:rPr>
                    <w:color w:val="000000"/>
                  </w:rPr>
                  <w:t>Singh, Saurabh, et al. “Dental Management of the Cardiovascular Compromised Patient: A Clinical Approach.”</w:t>
                </w:r>
                <w:r>
                  <w:rPr>
                    <w:rStyle w:val="apple-converted-space"/>
                    <w:color w:val="000000"/>
                  </w:rPr>
                  <w:t> </w:t>
                </w:r>
                <w:r>
                  <w:rPr>
                    <w:i/>
                    <w:iCs/>
                    <w:color w:val="000000"/>
                  </w:rPr>
                  <w:t>Journal of Young Pharmacists</w:t>
                </w:r>
                <w:r>
                  <w:rPr>
                    <w:color w:val="000000"/>
                  </w:rPr>
                  <w:t xml:space="preserve">, </w:t>
                </w:r>
                <w:r>
                  <w:rPr>
                    <w:color w:val="000000"/>
                  </w:rPr>
                  <w:lastRenderedPageBreak/>
                  <w:t>vol. 9, no. 4, Oct. 2017, pp. 453–456.</w:t>
                </w:r>
                <w:r>
                  <w:rPr>
                    <w:rStyle w:val="apple-converted-space"/>
                    <w:color w:val="000000"/>
                  </w:rPr>
                  <w:t> </w:t>
                </w:r>
                <w:r>
                  <w:rPr>
                    <w:i/>
                    <w:iCs/>
                    <w:color w:val="000000"/>
                  </w:rPr>
                  <w:t>Academic Search Complete</w:t>
                </w:r>
                <w:r>
                  <w:rPr>
                    <w:color w:val="000000"/>
                  </w:rPr>
                  <w:t>, EBSCOhost, doi:10.5530/jyp.2017.9.89. Accessed 23 Sept. 2020.</w:t>
                </w:r>
                <w:r>
                  <w:rPr>
                    <w:rStyle w:val="apple-converted-space"/>
                    <w:color w:val="000000"/>
                  </w:rPr>
                  <w:t> </w:t>
                </w:r>
              </w:p>
              <w:p w:rsidR="00692E4D" w:rsidRPr="00CB746A" w:rsidRDefault="00CB746A" w:rsidP="00CB746A">
                <w:pPr>
                  <w:pStyle w:val="NormalWeb"/>
                  <w:numPr>
                    <w:ilvl w:val="0"/>
                    <w:numId w:val="12"/>
                  </w:numPr>
                  <w:rPr>
                    <w:color w:val="000000"/>
                  </w:rPr>
                </w:pPr>
                <w:r w:rsidRPr="00CB746A">
                  <w:rPr>
                    <w:rFonts w:ascii="Helvetica" w:hAnsi="Helvetica"/>
                    <w:color w:val="262626"/>
                    <w:sz w:val="18"/>
                    <w:szCs w:val="18"/>
                    <w:shd w:val="clear" w:color="auto" w:fill="F5F5F5"/>
                  </w:rPr>
                  <w:t>Kanchan Ganda.</w:t>
                </w:r>
                <w:r w:rsidRPr="00CB746A">
                  <w:rPr>
                    <w:rStyle w:val="apple-converted-space"/>
                    <w:rFonts w:ascii="Helvetica" w:hAnsi="Helvetica"/>
                    <w:color w:val="262626"/>
                    <w:sz w:val="18"/>
                    <w:szCs w:val="18"/>
                    <w:shd w:val="clear" w:color="auto" w:fill="F5F5F5"/>
                  </w:rPr>
                  <w:t> </w:t>
                </w:r>
                <w:r w:rsidRPr="00CB746A">
                  <w:rPr>
                    <w:rFonts w:ascii="Helvetica" w:hAnsi="Helvetica"/>
                    <w:i/>
                    <w:iCs/>
                    <w:color w:val="262626"/>
                    <w:sz w:val="18"/>
                    <w:szCs w:val="18"/>
                    <w:bdr w:val="none" w:sz="0" w:space="0" w:color="auto" w:frame="1"/>
                  </w:rPr>
                  <w:t>Dentist’s Guide to Medical Conditions, Medications and Complications</w:t>
                </w:r>
                <w:r w:rsidRPr="00CB746A">
                  <w:rPr>
                    <w:rFonts w:ascii="Helvetica" w:hAnsi="Helvetica"/>
                    <w:color w:val="262626"/>
                    <w:sz w:val="18"/>
                    <w:szCs w:val="18"/>
                    <w:shd w:val="clear" w:color="auto" w:fill="F5F5F5"/>
                  </w:rPr>
                  <w:t>. Vol. Second edition, Wiley-Blackwell, 2013.</w:t>
                </w:r>
                <w:r w:rsidRPr="00CB746A">
                  <w:rPr>
                    <w:rStyle w:val="apple-converted-space"/>
                    <w:rFonts w:ascii="Helvetica" w:hAnsi="Helvetica"/>
                    <w:color w:val="262626"/>
                    <w:sz w:val="18"/>
                    <w:szCs w:val="18"/>
                    <w:shd w:val="clear" w:color="auto" w:fill="F5F5F5"/>
                  </w:rPr>
                  <w:t> </w:t>
                </w:r>
                <w:r w:rsidRPr="00CB746A">
                  <w:rPr>
                    <w:rFonts w:ascii="Helvetica" w:hAnsi="Helvetica"/>
                    <w:i/>
                    <w:iCs/>
                    <w:color w:val="262626"/>
                    <w:sz w:val="18"/>
                    <w:szCs w:val="18"/>
                    <w:bdr w:val="none" w:sz="0" w:space="0" w:color="auto" w:frame="1"/>
                  </w:rPr>
                  <w:t>EBSCOhost</w:t>
                </w:r>
                <w:r w:rsidRPr="00CB746A">
                  <w:rPr>
                    <w:rFonts w:ascii="Helvetica" w:hAnsi="Helvetica"/>
                    <w:color w:val="262626"/>
                    <w:sz w:val="18"/>
                    <w:szCs w:val="18"/>
                    <w:shd w:val="clear" w:color="auto" w:fill="F5F5F5"/>
                  </w:rPr>
                  <w:t>, search.ebscohost.com/login.aspx?direct=true&amp;db=nlebk&amp;AN=588007&amp;site=ehost-live&amp;scope=site.</w:t>
                </w:r>
              </w:p>
            </w:tc>
          </w:sdtContent>
        </w:sdt>
      </w:tr>
      <w:tr w:rsidR="00692E4D" w:rsidTr="002E6FF2">
        <w:tc>
          <w:tcPr>
            <w:tcW w:w="8640" w:type="dxa"/>
          </w:tcPr>
          <w:p w:rsidR="00692E4D" w:rsidRPr="00974240" w:rsidRDefault="00692E4D" w:rsidP="00692E4D">
            <w:pPr>
              <w:rPr>
                <w:b/>
              </w:rPr>
            </w:pPr>
            <w:r w:rsidRPr="006A2AEF">
              <w:rPr>
                <w:b/>
              </w:rPr>
              <w:lastRenderedPageBreak/>
              <w:t>Study Design(s):</w:t>
            </w:r>
          </w:p>
        </w:tc>
      </w:tr>
      <w:tr w:rsidR="00692E4D" w:rsidTr="002E6FF2">
        <w:sdt>
          <w:sdtPr>
            <w:id w:val="196748513"/>
            <w:placeholder>
              <w:docPart w:val="205A1B0B443B417CA1D395AFAABA1971"/>
            </w:placeholder>
          </w:sdtPr>
          <w:sdtEndPr/>
          <w:sdtContent>
            <w:tc>
              <w:tcPr>
                <w:tcW w:w="8640" w:type="dxa"/>
              </w:tcPr>
              <w:p w:rsidR="00A4302E" w:rsidRPr="00A4302E" w:rsidRDefault="00A4302E" w:rsidP="00A4302E">
                <w:pPr>
                  <w:pStyle w:val="ListParagraph"/>
                  <w:numPr>
                    <w:ilvl w:val="0"/>
                    <w:numId w:val="13"/>
                  </w:numPr>
                  <w:rPr>
                    <w:b/>
                  </w:rPr>
                </w:pPr>
                <w:r>
                  <w:t>Clinical Guideline</w:t>
                </w:r>
              </w:p>
              <w:p w:rsidR="00A4302E" w:rsidRDefault="00A4302E" w:rsidP="00A4302E">
                <w:pPr>
                  <w:pStyle w:val="ListParagraph"/>
                  <w:numPr>
                    <w:ilvl w:val="0"/>
                    <w:numId w:val="13"/>
                  </w:numPr>
                  <w:rPr>
                    <w:b/>
                  </w:rPr>
                </w:pPr>
                <w:proofErr w:type="spellStart"/>
                <w:r>
                  <w:rPr>
                    <w:b/>
                  </w:rPr>
                  <w:t>Meta Analysis</w:t>
                </w:r>
                <w:proofErr w:type="spellEnd"/>
              </w:p>
              <w:p w:rsidR="00692E4D" w:rsidRPr="00A4302E" w:rsidRDefault="00A4302E" w:rsidP="00A4302E">
                <w:pPr>
                  <w:pStyle w:val="ListParagraph"/>
                  <w:numPr>
                    <w:ilvl w:val="0"/>
                    <w:numId w:val="13"/>
                  </w:numPr>
                  <w:rPr>
                    <w:b/>
                  </w:rPr>
                </w:pPr>
                <w:r>
                  <w:rPr>
                    <w:b/>
                  </w:rPr>
                  <w:t>Textbook – Expert Opinion without Explicit Critical Appraisal, Narrative Review</w:t>
                </w:r>
              </w:p>
            </w:tc>
          </w:sdtContent>
        </w:sdt>
      </w:tr>
      <w:tr w:rsidR="00692E4D" w:rsidTr="002E6FF2">
        <w:tc>
          <w:tcPr>
            <w:tcW w:w="8640" w:type="dxa"/>
          </w:tcPr>
          <w:p w:rsidR="00692E4D" w:rsidRPr="006A2AEF" w:rsidRDefault="00692E4D" w:rsidP="002972EE">
            <w:pPr>
              <w:rPr>
                <w:b/>
              </w:rPr>
            </w:pPr>
            <w:r w:rsidRPr="00974240">
              <w:rPr>
                <w:b/>
              </w:rPr>
              <w:t>Reason for Article Selection:</w:t>
            </w:r>
          </w:p>
        </w:tc>
      </w:tr>
      <w:tr w:rsidR="00692E4D" w:rsidTr="002E6FF2">
        <w:sdt>
          <w:sdtPr>
            <w:id w:val="-1249580699"/>
            <w:placeholder>
              <w:docPart w:val="DDFEF09BC79B45F4875E7842D1533882"/>
            </w:placeholder>
          </w:sdtPr>
          <w:sdtEndPr/>
          <w:sdtContent>
            <w:tc>
              <w:tcPr>
                <w:tcW w:w="8640" w:type="dxa"/>
              </w:tcPr>
              <w:p w:rsidR="00BE43B2" w:rsidRPr="00BE43B2" w:rsidRDefault="007B4647" w:rsidP="007B4647">
                <w:pPr>
                  <w:pStyle w:val="ListParagraph"/>
                  <w:numPr>
                    <w:ilvl w:val="0"/>
                    <w:numId w:val="14"/>
                  </w:numPr>
                  <w:rPr>
                    <w:b/>
                  </w:rPr>
                </w:pPr>
                <w:r>
                  <w:t>Clinical Guideline by JADA –</w:t>
                </w:r>
                <w:r w:rsidR="00BE43B2">
                  <w:t xml:space="preserve"> It is a credible journal from the American Dental Association</w:t>
                </w:r>
              </w:p>
              <w:p w:rsidR="00BE43B2" w:rsidRDefault="00BE43B2" w:rsidP="007B4647">
                <w:pPr>
                  <w:pStyle w:val="ListParagraph"/>
                  <w:numPr>
                    <w:ilvl w:val="0"/>
                    <w:numId w:val="14"/>
                  </w:numPr>
                  <w:rPr>
                    <w:b/>
                  </w:rPr>
                </w:pPr>
                <w:proofErr w:type="spellStart"/>
                <w:r>
                  <w:rPr>
                    <w:b/>
                  </w:rPr>
                  <w:t>Meta Analysis</w:t>
                </w:r>
                <w:proofErr w:type="spellEnd"/>
                <w:r>
                  <w:rPr>
                    <w:b/>
                  </w:rPr>
                  <w:t xml:space="preserve"> of 46 previous articles on appropriate management of dental patients with cardiovascular disease.</w:t>
                </w:r>
              </w:p>
              <w:p w:rsidR="00692E4D" w:rsidRPr="007B4647" w:rsidRDefault="00895F7A" w:rsidP="007B4647">
                <w:pPr>
                  <w:pStyle w:val="ListParagraph"/>
                  <w:numPr>
                    <w:ilvl w:val="0"/>
                    <w:numId w:val="14"/>
                  </w:numPr>
                  <w:rPr>
                    <w:b/>
                  </w:rPr>
                </w:pPr>
                <w:r>
                  <w:rPr>
                    <w:b/>
                  </w:rPr>
                  <w:t>Textbook</w:t>
                </w:r>
                <w:r w:rsidR="004B6EFE">
                  <w:rPr>
                    <w:b/>
                  </w:rPr>
                  <w:t xml:space="preserve"> – expert’s opinion</w:t>
                </w:r>
              </w:p>
            </w:tc>
          </w:sdtContent>
        </w:sdt>
      </w:tr>
      <w:tr w:rsidR="00692E4D" w:rsidTr="002E6FF2">
        <w:tc>
          <w:tcPr>
            <w:tcW w:w="8640" w:type="dxa"/>
          </w:tcPr>
          <w:p w:rsidR="00692E4D" w:rsidRPr="006A2AEF" w:rsidRDefault="00692E4D" w:rsidP="00692E4D">
            <w:pPr>
              <w:rPr>
                <w:b/>
              </w:rPr>
            </w:pPr>
            <w:r w:rsidRPr="00974240">
              <w:rPr>
                <w:b/>
              </w:rPr>
              <w:t>Article(s) Synopsis:</w:t>
            </w:r>
          </w:p>
        </w:tc>
      </w:tr>
      <w:tr w:rsidR="00692E4D" w:rsidTr="002E6FF2">
        <w:sdt>
          <w:sdtPr>
            <w:id w:val="-1273706365"/>
            <w:placeholder>
              <w:docPart w:val="CD5085E3943545F0974FA7B375EE1726"/>
            </w:placeholder>
          </w:sdtPr>
          <w:sdtEndPr/>
          <w:sdtContent>
            <w:tc>
              <w:tcPr>
                <w:tcW w:w="8640" w:type="dxa"/>
              </w:tcPr>
              <w:p w:rsidR="004B6EFE" w:rsidRPr="004B6EFE" w:rsidRDefault="004B6EFE" w:rsidP="004B6EFE">
                <w:pPr>
                  <w:pStyle w:val="ListParagraph"/>
                  <w:numPr>
                    <w:ilvl w:val="0"/>
                    <w:numId w:val="15"/>
                  </w:numPr>
                  <w:rPr>
                    <w:b/>
                  </w:rPr>
                </w:pPr>
                <w:r>
                  <w:t xml:space="preserve">For patients with diabetes, a thorough medical history should be taken because some of the medications that the patient is on can induce hyperglycemic effects. For patients with comorbidity, consulting patient’s physician is necessary since these conditions have their own effects on dental treatment. Also, scheduling patients for morning appointment is advised due to higher endogenous cortisol levels. In addition to all of that, blood glucose monitoring before treatment is crucial. Any patients with a low plasma glucose level of &lt;70 mg/dL should be given an oral carbohydrate before treatment while patients with high blood glucose levels will need a medical consultation before performing any elective dental treatments. </w:t>
                </w:r>
              </w:p>
              <w:p w:rsidR="000C7524" w:rsidRPr="000C7524" w:rsidRDefault="004B6EFE" w:rsidP="000C7524">
                <w:pPr>
                  <w:pStyle w:val="ListParagraph"/>
                  <w:numPr>
                    <w:ilvl w:val="0"/>
                    <w:numId w:val="15"/>
                  </w:numPr>
                  <w:rPr>
                    <w:b/>
                  </w:rPr>
                </w:pPr>
                <w:r>
                  <w:t xml:space="preserve">For a patient </w:t>
                </w:r>
                <w:r w:rsidR="000C7524">
                  <w:t xml:space="preserve">with cardiovascular complications, it is recommended that patients are not to be seen until 6 months after the MI. After this period, treatment decisions should be dependent on the patient’s medical condition and individualized situation (i.e. comorbidities). If patients are on nitrates, then the patients are to bring that with them at every dental visit. INR (international normalized ratio) should be determined for any patients on anticoagulants (recommendation: &lt; 3.5). If the </w:t>
                </w:r>
                <w:proofErr w:type="spellStart"/>
                <w:r w:rsidR="000C7524">
                  <w:t>practicioner</w:t>
                </w:r>
                <w:proofErr w:type="spellEnd"/>
                <w:r w:rsidR="000C7524">
                  <w:t xml:space="preserve"> determines that the patient can be safely treated, then during the appointment, the patient should be placed in the position most comfortable for him/her (semi-supine) to avoid orthostatic hypotension. </w:t>
                </w:r>
              </w:p>
              <w:p w:rsidR="00692E4D" w:rsidRPr="000C7524" w:rsidRDefault="000C7524" w:rsidP="000C7524">
                <w:pPr>
                  <w:pStyle w:val="ListParagraph"/>
                  <w:numPr>
                    <w:ilvl w:val="0"/>
                    <w:numId w:val="15"/>
                  </w:numPr>
                  <w:rPr>
                    <w:b/>
                  </w:rPr>
                </w:pPr>
                <w:r>
                  <w:t xml:space="preserve">For patients with MI associated conditions, </w:t>
                </w:r>
                <w:r w:rsidR="00E50816">
                  <w:t xml:space="preserve">hygiene recalls should be scheduled every 3-4 months for patients with severe periodontal disease / coronary artery disease. Patients classified as ASA III/IV or on medication to manage heart failure should avoid vasoconstrictors in local anesthetics. Delay dental treatment post MI by 3 months if the MI was minimum and patient was short term hospitalization/overnight observation but delay by 6 months if patient had a massive MI that required significant hospitalization. If patient had a stent </w:t>
                </w:r>
                <w:r w:rsidR="00E50816">
                  <w:lastRenderedPageBreak/>
                  <w:t xml:space="preserve">placement, angioplasty or CABG, clinicians should wait 2-4 weeks to resume dental treatments. Clinicians should always consult with the patient’s MD. For patients with diabetes, the ADA (American Diabetes Associations) states that a patients HbA1C should be determined before treatment and levels should be below 7%. (7% reflects average blood sugar level of 150 mg/dL). For well controlled diabetic patients (FBS &lt; 120 mg/dL and HbA1C is &lt; 7%), use 2% </w:t>
                </w:r>
                <w:r w:rsidR="00976015">
                  <w:t xml:space="preserve">lidocaine or 2% </w:t>
                </w:r>
                <w:proofErr w:type="spellStart"/>
                <w:r w:rsidR="00976015">
                  <w:t>mepivcaine</w:t>
                </w:r>
                <w:proofErr w:type="spellEnd"/>
                <w:r w:rsidR="00976015">
                  <w:t xml:space="preserve"> with a max of 2 </w:t>
                </w:r>
                <w:proofErr w:type="spellStart"/>
                <w:r w:rsidR="00976015">
                  <w:t>carpules</w:t>
                </w:r>
                <w:proofErr w:type="spellEnd"/>
                <w:r w:rsidR="00976015">
                  <w:t xml:space="preserve">. For moderately controlled diabetic patient (FBS: 120-180 mg/dL) and HbA1C is between 7-8%, then dentists should decrease the amount of epinephrine in LA (i.e. -.5% bupivacaine or 4% prilocaine with max of 2 carps). For severely uncontrolled patient (FBS &gt; 180 mg/dL and HbA1C &gt; 8%), defer all routine dental treatment until patient is stable and has their blood sugar controlled. Only in a dental emergency, you can treat patient with 3% </w:t>
                </w:r>
                <w:proofErr w:type="spellStart"/>
                <w:r w:rsidR="00976015">
                  <w:t>mepivcaine</w:t>
                </w:r>
                <w:proofErr w:type="spellEnd"/>
                <w:r w:rsidR="00976015">
                  <w:t xml:space="preserve"> or 4% prilocaine HCl. A low dose of antibiotic is necessary to promote healing for 3, 5 or 7 days. </w:t>
                </w:r>
              </w:p>
            </w:tc>
          </w:sdtContent>
        </w:sdt>
      </w:tr>
      <w:tr w:rsidR="00692E4D" w:rsidTr="002E6FF2">
        <w:tc>
          <w:tcPr>
            <w:tcW w:w="8640" w:type="dxa"/>
          </w:tcPr>
          <w:p w:rsidR="00692E4D" w:rsidRDefault="00692E4D" w:rsidP="00692E4D">
            <w:pPr>
              <w:pStyle w:val="ColorfulList-Accent11"/>
            </w:pPr>
            <w:r w:rsidRPr="006A2AEF">
              <w:rPr>
                <w:rFonts w:cs="Verdana"/>
                <w:b/>
                <w:szCs w:val="26"/>
              </w:rPr>
              <w:lastRenderedPageBreak/>
              <w:t>Le</w:t>
            </w:r>
            <w:r w:rsidRPr="006A2AEF">
              <w:rPr>
                <w:b/>
              </w:rPr>
              <w:t xml:space="preserve">vels of Evidence:  </w:t>
            </w:r>
            <w:r>
              <w:t xml:space="preserve">(For Therapy/Prevention, Etiology/Harm)  </w:t>
            </w:r>
          </w:p>
          <w:p w:rsidR="00692E4D" w:rsidRDefault="00692E4D" w:rsidP="00692E4D">
            <w:r>
              <w:t xml:space="preserve">See   </w:t>
            </w:r>
            <w:hyperlink r:id="rId11" w:history="1">
              <w:r w:rsidRPr="00505FEF">
                <w:rPr>
                  <w:rStyle w:val="Hyperlink"/>
                </w:rPr>
                <w:t>http://www.cebm.net/index.aspx?o=1025</w:t>
              </w:r>
            </w:hyperlink>
          </w:p>
          <w:p w:rsidR="004816C3" w:rsidRPr="009A3ACA" w:rsidRDefault="00994615" w:rsidP="004816C3">
            <w:sdt>
              <w:sdtPr>
                <w:rPr>
                  <w:b/>
                </w:rPr>
                <w:id w:val="1778597194"/>
                <w14:checkbox>
                  <w14:checked w14:val="1"/>
                  <w14:checkedState w14:val="2612" w14:font="MS Gothic"/>
                  <w14:uncheckedState w14:val="2610" w14:font="MS Gothic"/>
                </w14:checkbox>
              </w:sdtPr>
              <w:sdtEndPr/>
              <w:sdtContent>
                <w:r w:rsidR="00F8097D">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994615" w:rsidP="004816C3">
            <w:sdt>
              <w:sdtPr>
                <w:rPr>
                  <w:b/>
                </w:rPr>
                <w:id w:val="4044134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994615" w:rsidP="004816C3">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994615" w:rsidP="004816C3">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rsidR="004816C3" w:rsidRPr="00E2331B" w:rsidRDefault="00994615" w:rsidP="004816C3">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994615" w:rsidP="004816C3">
            <w:sdt>
              <w:sdtPr>
                <w:rPr>
                  <w:b/>
                </w:rPr>
                <w:id w:val="1068152774"/>
                <w14:checkbox>
                  <w14:checked w14:val="0"/>
                  <w14:checkedState w14:val="2612" w14:font="MS Gothic"/>
                  <w14:uncheckedState w14:val="2610" w14:font="MS Gothic"/>
                </w14:checkbox>
              </w:sdtPr>
              <w:sdtEndPr/>
              <w:sdtContent>
                <w:r w:rsidR="00F8097D">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994615" w:rsidP="004816C3">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994615" w:rsidP="004816C3">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rsidR="004816C3" w:rsidRDefault="00994615" w:rsidP="004816C3">
            <w:sdt>
              <w:sdtPr>
                <w:rPr>
                  <w:b/>
                </w:rPr>
                <w:id w:val="62923687"/>
                <w14:checkbox>
                  <w14:checked w14:val="1"/>
                  <w14:checkedState w14:val="2612" w14:font="MS Gothic"/>
                  <w14:uncheckedState w14:val="2610" w14:font="MS Gothic"/>
                </w14:checkbox>
              </w:sdtPr>
              <w:sdtEndPr/>
              <w:sdtContent>
                <w:r w:rsidR="00A4302E">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994615" w:rsidP="004816C3">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994615" w:rsidP="00692E4D">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rPr>
                <w:b/>
              </w:rPr>
            </w:pPr>
            <w:r w:rsidRPr="00974240">
              <w:rPr>
                <w:b/>
              </w:rPr>
              <w:t>Strength of Recommendation Taxonomy (SORT) For Guidelines and Systematic Reviews</w:t>
            </w:r>
          </w:p>
          <w:p w:rsidR="00692E4D" w:rsidRDefault="00692E4D" w:rsidP="00692E4D">
            <w:pPr>
              <w:rPr>
                <w:b/>
              </w:rPr>
            </w:pPr>
            <w:r>
              <w:t xml:space="preserve">See article </w:t>
            </w:r>
            <w:r w:rsidRPr="00355808">
              <w:rPr>
                <w:b/>
              </w:rPr>
              <w:t>J Evid Base Dent Pract 2007;147-150</w:t>
            </w:r>
          </w:p>
          <w:p w:rsidR="00692E4D" w:rsidRDefault="00994615" w:rsidP="00692E4D">
            <w:pPr>
              <w:rPr>
                <w:b/>
              </w:rPr>
            </w:pPr>
            <w:sdt>
              <w:sdtPr>
                <w:rPr>
                  <w:b/>
                </w:rPr>
                <w:id w:val="-1845076682"/>
                <w14:checkbox>
                  <w14:checked w14:val="0"/>
                  <w14:checkedState w14:val="2612" w14:font="MS Gothic"/>
                  <w14:uncheckedState w14:val="2610" w14:font="MS Gothic"/>
                </w14:checkbox>
              </w:sdtPr>
              <w:sdtEndPr/>
              <w:sdtContent>
                <w:r w:rsidR="00A4302E">
                  <w:rPr>
                    <w:rFonts w:ascii="MS Gothic" w:eastAsia="MS Gothic" w:hAnsi="MS Gothic" w:hint="eastAsia"/>
                    <w:b/>
                  </w:rPr>
                  <w:t>☐</w:t>
                </w:r>
              </w:sdtContent>
            </w:sdt>
            <w:r w:rsidR="00692E4D">
              <w:rPr>
                <w:b/>
              </w:rPr>
              <w:t xml:space="preserve"> A </w:t>
            </w:r>
            <w:r w:rsidR="00692E4D" w:rsidRPr="00355808">
              <w:t xml:space="preserve">– Consistent, good quality </w:t>
            </w:r>
            <w:proofErr w:type="gramStart"/>
            <w:r w:rsidR="00692E4D" w:rsidRPr="00355808">
              <w:t>patient oriented</w:t>
            </w:r>
            <w:proofErr w:type="gramEnd"/>
            <w:r w:rsidR="00692E4D" w:rsidRPr="00355808">
              <w:t xml:space="preserve"> evidence</w:t>
            </w:r>
            <w:r w:rsidR="00692E4D">
              <w:rPr>
                <w:b/>
              </w:rPr>
              <w:tab/>
            </w:r>
            <w:r w:rsidR="00692E4D">
              <w:rPr>
                <w:b/>
              </w:rPr>
              <w:tab/>
            </w:r>
            <w:r w:rsidR="00692E4D">
              <w:rPr>
                <w:b/>
              </w:rPr>
              <w:tab/>
            </w:r>
            <w:r w:rsidR="00692E4D">
              <w:rPr>
                <w:b/>
              </w:rPr>
              <w:tab/>
            </w:r>
          </w:p>
          <w:p w:rsidR="00692E4D" w:rsidRDefault="00994615" w:rsidP="00692E4D">
            <w:pPr>
              <w:rPr>
                <w:b/>
              </w:rPr>
            </w:pPr>
            <w:sdt>
              <w:sdtPr>
                <w:rPr>
                  <w:b/>
                </w:rPr>
                <w:id w:val="1185017780"/>
                <w14:checkbox>
                  <w14:checked w14:val="0"/>
                  <w14:checkedState w14:val="2612" w14:font="MS Gothic"/>
                  <w14:uncheckedState w14:val="2610" w14:font="MS Gothic"/>
                </w14:checkbox>
              </w:sdtPr>
              <w:sdtEndPr/>
              <w:sdtContent>
                <w:r w:rsidR="00A4302E">
                  <w:rPr>
                    <w:rFonts w:ascii="MS Gothic" w:eastAsia="MS Gothic" w:hAnsi="MS Gothic" w:hint="eastAsia"/>
                    <w:b/>
                  </w:rPr>
                  <w:t>☐</w:t>
                </w:r>
              </w:sdtContent>
            </w:sdt>
            <w:r w:rsidR="00692E4D">
              <w:rPr>
                <w:b/>
              </w:rPr>
              <w:t xml:space="preserve"> B</w:t>
            </w:r>
            <w:r w:rsidR="00692E4D">
              <w:t xml:space="preserve"> – Inconsistent or limited quality </w:t>
            </w:r>
            <w:proofErr w:type="gramStart"/>
            <w:r w:rsidR="00692E4D">
              <w:t>patient oriented</w:t>
            </w:r>
            <w:proofErr w:type="gramEnd"/>
            <w:r w:rsidR="00692E4D">
              <w:t xml:space="preserve"> evidence</w:t>
            </w:r>
            <w:r w:rsidR="00692E4D">
              <w:rPr>
                <w:b/>
              </w:rPr>
              <w:tab/>
            </w:r>
            <w:r w:rsidR="00692E4D">
              <w:rPr>
                <w:b/>
              </w:rPr>
              <w:tab/>
            </w:r>
            <w:r w:rsidR="00692E4D">
              <w:rPr>
                <w:b/>
              </w:rPr>
              <w:tab/>
            </w:r>
            <w:r w:rsidR="00692E4D">
              <w:rPr>
                <w:b/>
              </w:rPr>
              <w:tab/>
            </w:r>
          </w:p>
          <w:p w:rsidR="00692E4D" w:rsidRDefault="00994615" w:rsidP="00692E4D">
            <w:sdt>
              <w:sdtPr>
                <w:rPr>
                  <w:b/>
                </w:rPr>
                <w:id w:val="816303343"/>
                <w14:checkbox>
                  <w14:checked w14:val="0"/>
                  <w14:checkedState w14:val="2612" w14:font="MS Gothic"/>
                  <w14:uncheckedState w14:val="2610" w14:font="MS Gothic"/>
                </w14:checkbox>
              </w:sdtPr>
              <w:sdtEndPr/>
              <w:sdtContent>
                <w:r w:rsidR="00FF78B1">
                  <w:rPr>
                    <w:rFonts w:ascii="MS Gothic" w:eastAsia="MS Gothic" w:hAnsi="MS Gothic" w:hint="eastAsia"/>
                    <w:b/>
                  </w:rPr>
                  <w:t>☐</w:t>
                </w:r>
              </w:sdtContent>
            </w:sdt>
            <w:r w:rsidR="00692E4D">
              <w:rPr>
                <w:b/>
              </w:rPr>
              <w:t xml:space="preserve"> C</w:t>
            </w:r>
            <w:r w:rsidR="00692E4D">
              <w:t xml:space="preserve"> – Consensus, </w:t>
            </w:r>
            <w:proofErr w:type="gramStart"/>
            <w:r w:rsidR="00692E4D">
              <w:t>disease oriented</w:t>
            </w:r>
            <w:proofErr w:type="gramEnd"/>
            <w:r w:rsidR="00692E4D">
              <w:t xml:space="preserve"> evidence, usual practice, expert opinion, or case series for studies of diagnosis, treatment, prevention, or screening</w:t>
            </w:r>
          </w:p>
          <w:p w:rsidR="00692E4D" w:rsidRDefault="00692E4D" w:rsidP="00692E4D">
            <w:pPr>
              <w:rPr>
                <w:b/>
              </w:rPr>
            </w:pPr>
          </w:p>
        </w:tc>
      </w:tr>
      <w:tr w:rsidR="00692E4D" w:rsidTr="002E6FF2">
        <w:tc>
          <w:tcPr>
            <w:tcW w:w="8640" w:type="dxa"/>
          </w:tcPr>
          <w:p w:rsidR="00692E4D" w:rsidRPr="00974240" w:rsidRDefault="00692E4D" w:rsidP="00692E4D">
            <w:pPr>
              <w:rPr>
                <w:b/>
              </w:rPr>
            </w:pPr>
            <w:r w:rsidRPr="00974240">
              <w:rPr>
                <w:b/>
              </w:rPr>
              <w:t>Conclusion</w:t>
            </w:r>
            <w:r>
              <w:rPr>
                <w:b/>
              </w:rPr>
              <w:t>(s)</w:t>
            </w:r>
            <w:r w:rsidRPr="00974240">
              <w:rPr>
                <w:b/>
              </w:rPr>
              <w:t>:</w:t>
            </w:r>
          </w:p>
        </w:tc>
      </w:tr>
      <w:tr w:rsidR="002972EE" w:rsidTr="002E6FF2">
        <w:sdt>
          <w:sdtPr>
            <w:rPr>
              <w:b/>
            </w:rPr>
            <w:id w:val="-1330988089"/>
          </w:sdtPr>
          <w:sdtEndPr/>
          <w:sdtContent>
            <w:sdt>
              <w:sdtPr>
                <w:rPr>
                  <w:b/>
                </w:rPr>
                <w:id w:val="-1702319668"/>
                <w:placeholder>
                  <w:docPart w:val="18CD1B8861D24349BB566DFEBEA895C6"/>
                </w:placeholder>
              </w:sdtPr>
              <w:sdtEndPr/>
              <w:sdtContent>
                <w:tc>
                  <w:tcPr>
                    <w:tcW w:w="8640" w:type="dxa"/>
                  </w:tcPr>
                  <w:p w:rsidR="002972EE" w:rsidRDefault="00976015" w:rsidP="002972EE">
                    <w:r>
                      <w:rPr>
                        <w:b/>
                      </w:rPr>
                      <w:t xml:space="preserve">For patients with diabetes and a recent MI, patient should not receive any dental treatment for at least 6 months after their MI episode, INR and HBA1C should be determined before treatment. </w:t>
                    </w:r>
                    <w:r>
                      <w:rPr>
                        <w:b/>
                      </w:rPr>
                      <w:t xml:space="preserve">Recommended INR level is &lt; 3.5 and HBA1C should be less than 7%. </w:t>
                    </w:r>
                    <w:r>
                      <w:rPr>
                        <w:b/>
                      </w:rPr>
                      <w:t xml:space="preserve">Dental treatment will then be dependent on how well controlled their blood sugar levels are. Consult with patient’s physician is highly </w:t>
                    </w:r>
                    <w:r>
                      <w:rPr>
                        <w:b/>
                      </w:rPr>
                      <w:lastRenderedPageBreak/>
                      <w:t xml:space="preserve">encouraged. </w:t>
                    </w:r>
                    <w:r>
                      <w:rPr>
                        <w:b/>
                      </w:rPr>
                      <w:t>Short morning appointments are highly encouraged with patient in a semi-</w:t>
                    </w:r>
                    <w:proofErr w:type="spellStart"/>
                    <w:r>
                      <w:rPr>
                        <w:b/>
                      </w:rPr>
                      <w:t>supined</w:t>
                    </w:r>
                    <w:proofErr w:type="spellEnd"/>
                    <w:r>
                      <w:rPr>
                        <w:b/>
                      </w:rPr>
                      <w:t xml:space="preserve"> level to avoid orthostatic hypotension. </w:t>
                    </w:r>
                  </w:p>
                </w:tc>
              </w:sdtContent>
            </w:sdt>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rPr>
          <w:b/>
        </w:rPr>
      </w:pPr>
      <w:r>
        <w:tab/>
      </w:r>
      <w:r>
        <w:tab/>
      </w:r>
    </w:p>
    <w:p w:rsidR="003B2868" w:rsidRDefault="003B2868" w:rsidP="00692E4D">
      <w:pPr>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 w:rsidR="004112F5" w:rsidRPr="00355808" w:rsidRDefault="004112F5" w:rsidP="00692E4D">
      <w:r>
        <w:t xml:space="preserve">    </w:t>
      </w:r>
    </w:p>
    <w:p w:rsidR="004112F5" w:rsidRDefault="004112F5" w:rsidP="00692E4D"/>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94615" w:rsidRDefault="00994615" w:rsidP="00692E4D">
      <w:r>
        <w:separator/>
      </w:r>
    </w:p>
  </w:endnote>
  <w:endnote w:type="continuationSeparator" w:id="0">
    <w:p w:rsidR="00994615" w:rsidRDefault="00994615" w:rsidP="0069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94615" w:rsidRDefault="00994615" w:rsidP="00692E4D">
      <w:r>
        <w:separator/>
      </w:r>
    </w:p>
  </w:footnote>
  <w:footnote w:type="continuationSeparator" w:id="0">
    <w:p w:rsidR="00994615" w:rsidRDefault="00994615" w:rsidP="00692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D2832"/>
    <w:multiLevelType w:val="hybridMultilevel"/>
    <w:tmpl w:val="8B76A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4258D9"/>
    <w:multiLevelType w:val="hybridMultilevel"/>
    <w:tmpl w:val="4538E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F965EF"/>
    <w:multiLevelType w:val="hybridMultilevel"/>
    <w:tmpl w:val="A21E08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144B30"/>
    <w:multiLevelType w:val="hybridMultilevel"/>
    <w:tmpl w:val="AA7C0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44955D5"/>
    <w:multiLevelType w:val="hybridMultilevel"/>
    <w:tmpl w:val="35E2A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375D0B"/>
    <w:multiLevelType w:val="hybridMultilevel"/>
    <w:tmpl w:val="E34C5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3"/>
  </w:num>
  <w:num w:numId="4">
    <w:abstractNumId w:val="1"/>
  </w:num>
  <w:num w:numId="5">
    <w:abstractNumId w:val="5"/>
  </w:num>
  <w:num w:numId="6">
    <w:abstractNumId w:val="6"/>
  </w:num>
  <w:num w:numId="7">
    <w:abstractNumId w:val="11"/>
  </w:num>
  <w:num w:numId="8">
    <w:abstractNumId w:val="7"/>
  </w:num>
  <w:num w:numId="9">
    <w:abstractNumId w:val="4"/>
  </w:num>
  <w:num w:numId="10">
    <w:abstractNumId w:val="9"/>
  </w:num>
  <w:num w:numId="11">
    <w:abstractNumId w:val="13"/>
  </w:num>
  <w:num w:numId="12">
    <w:abstractNumId w:val="0"/>
  </w:num>
  <w:num w:numId="13">
    <w:abstractNumId w:val="8"/>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A1"/>
    <w:rsid w:val="000573BB"/>
    <w:rsid w:val="00097856"/>
    <w:rsid w:val="000C432A"/>
    <w:rsid w:val="000C7524"/>
    <w:rsid w:val="00192604"/>
    <w:rsid w:val="001C073A"/>
    <w:rsid w:val="001E1923"/>
    <w:rsid w:val="00203397"/>
    <w:rsid w:val="00223741"/>
    <w:rsid w:val="002967BF"/>
    <w:rsid w:val="002972EE"/>
    <w:rsid w:val="002E6FF2"/>
    <w:rsid w:val="00371A8F"/>
    <w:rsid w:val="003A275D"/>
    <w:rsid w:val="003B2868"/>
    <w:rsid w:val="004112F5"/>
    <w:rsid w:val="004816C3"/>
    <w:rsid w:val="00482184"/>
    <w:rsid w:val="0049299E"/>
    <w:rsid w:val="004B1110"/>
    <w:rsid w:val="004B6EFE"/>
    <w:rsid w:val="004E1CF8"/>
    <w:rsid w:val="00507F8A"/>
    <w:rsid w:val="005255A9"/>
    <w:rsid w:val="005F06DC"/>
    <w:rsid w:val="00657CF8"/>
    <w:rsid w:val="00672CAF"/>
    <w:rsid w:val="00692E4D"/>
    <w:rsid w:val="006A13A4"/>
    <w:rsid w:val="006A2AEF"/>
    <w:rsid w:val="006A5E4B"/>
    <w:rsid w:val="007278F8"/>
    <w:rsid w:val="00746A56"/>
    <w:rsid w:val="007B4647"/>
    <w:rsid w:val="00821882"/>
    <w:rsid w:val="0084217E"/>
    <w:rsid w:val="00895F7A"/>
    <w:rsid w:val="008A3451"/>
    <w:rsid w:val="00976015"/>
    <w:rsid w:val="00994615"/>
    <w:rsid w:val="00A228DA"/>
    <w:rsid w:val="00A24F93"/>
    <w:rsid w:val="00A345A4"/>
    <w:rsid w:val="00A4302E"/>
    <w:rsid w:val="00B103BF"/>
    <w:rsid w:val="00B5624A"/>
    <w:rsid w:val="00BE43B2"/>
    <w:rsid w:val="00CB746A"/>
    <w:rsid w:val="00DB37BC"/>
    <w:rsid w:val="00DD26F4"/>
    <w:rsid w:val="00E4293E"/>
    <w:rsid w:val="00E50816"/>
    <w:rsid w:val="00E77155"/>
    <w:rsid w:val="00EA5D8F"/>
    <w:rsid w:val="00F32487"/>
    <w:rsid w:val="00F45C43"/>
    <w:rsid w:val="00F76708"/>
    <w:rsid w:val="00F8097D"/>
    <w:rsid w:val="00FF78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51545F"/>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184"/>
    <w:pPr>
      <w:spacing w:after="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spacing w:after="200" w:line="276" w:lineRule="auto"/>
      <w:ind w:left="720" w:hanging="360"/>
      <w:contextualSpacing/>
    </w:pPr>
    <w:rPr>
      <w:rFonts w:ascii="Calibri" w:eastAsia="Calibri" w:hAnsi="Calibri"/>
      <w:sz w:val="22"/>
      <w:szCs w:val="22"/>
    </w:r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spacing w:after="200" w:line="276" w:lineRule="auto"/>
      <w:ind w:left="720" w:hanging="36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ind w:left="720" w:hanging="360"/>
    </w:pPr>
    <w:rPr>
      <w:rFonts w:ascii="Calibri" w:eastAsia="Calibri" w:hAnsi="Calibri"/>
      <w:sz w:val="22"/>
      <w:szCs w:val="22"/>
    </w:r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ind w:left="720" w:hanging="360"/>
    </w:pPr>
    <w:rPr>
      <w:rFonts w:ascii="Calibri" w:eastAsia="Calibri" w:hAnsi="Calibri"/>
      <w:sz w:val="22"/>
      <w:szCs w:val="22"/>
    </w:r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ind w:left="720" w:hanging="360"/>
    </w:pPr>
    <w:rPr>
      <w:rFonts w:ascii="Tahoma" w:eastAsia="Calibri"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character" w:styleId="UnresolvedMention">
    <w:name w:val="Unresolved Mention"/>
    <w:basedOn w:val="DefaultParagraphFont"/>
    <w:uiPriority w:val="99"/>
    <w:semiHidden/>
    <w:unhideWhenUsed/>
    <w:rsid w:val="00DB37BC"/>
    <w:rPr>
      <w:color w:val="605E5C"/>
      <w:shd w:val="clear" w:color="auto" w:fill="E1DFDD"/>
    </w:rPr>
  </w:style>
  <w:style w:type="paragraph" w:styleId="NormalWeb">
    <w:name w:val="Normal (Web)"/>
    <w:basedOn w:val="Normal"/>
    <w:uiPriority w:val="99"/>
    <w:unhideWhenUsed/>
    <w:rsid w:val="00DB37BC"/>
    <w:pPr>
      <w:spacing w:before="100" w:beforeAutospacing="1" w:after="100" w:afterAutospacing="1"/>
    </w:pPr>
  </w:style>
  <w:style w:type="character" w:customStyle="1" w:styleId="apple-converted-space">
    <w:name w:val="apple-converted-space"/>
    <w:basedOn w:val="DefaultParagraphFont"/>
    <w:rsid w:val="00A24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02789">
      <w:bodyDiv w:val="1"/>
      <w:marLeft w:val="0"/>
      <w:marRight w:val="0"/>
      <w:marTop w:val="0"/>
      <w:marBottom w:val="0"/>
      <w:divBdr>
        <w:top w:val="none" w:sz="0" w:space="0" w:color="auto"/>
        <w:left w:val="none" w:sz="0" w:space="0" w:color="auto"/>
        <w:bottom w:val="none" w:sz="0" w:space="0" w:color="auto"/>
        <w:right w:val="none" w:sz="0" w:space="0" w:color="auto"/>
      </w:divBdr>
      <w:divsChild>
        <w:div w:id="1263955946">
          <w:marLeft w:val="0"/>
          <w:marRight w:val="0"/>
          <w:marTop w:val="0"/>
          <w:marBottom w:val="0"/>
          <w:divBdr>
            <w:top w:val="none" w:sz="0" w:space="0" w:color="auto"/>
            <w:left w:val="none" w:sz="0" w:space="0" w:color="auto"/>
            <w:bottom w:val="none" w:sz="0" w:space="0" w:color="auto"/>
            <w:right w:val="none" w:sz="0" w:space="0" w:color="auto"/>
          </w:divBdr>
          <w:divsChild>
            <w:div w:id="1395590590">
              <w:marLeft w:val="0"/>
              <w:marRight w:val="0"/>
              <w:marTop w:val="0"/>
              <w:marBottom w:val="0"/>
              <w:divBdr>
                <w:top w:val="none" w:sz="0" w:space="0" w:color="auto"/>
                <w:left w:val="none" w:sz="0" w:space="0" w:color="auto"/>
                <w:bottom w:val="none" w:sz="0" w:space="0" w:color="auto"/>
                <w:right w:val="none" w:sz="0" w:space="0" w:color="auto"/>
              </w:divBdr>
              <w:divsChild>
                <w:div w:id="7614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08153">
      <w:bodyDiv w:val="1"/>
      <w:marLeft w:val="0"/>
      <w:marRight w:val="0"/>
      <w:marTop w:val="0"/>
      <w:marBottom w:val="0"/>
      <w:divBdr>
        <w:top w:val="none" w:sz="0" w:space="0" w:color="auto"/>
        <w:left w:val="none" w:sz="0" w:space="0" w:color="auto"/>
        <w:bottom w:val="none" w:sz="0" w:space="0" w:color="auto"/>
        <w:right w:val="none" w:sz="0" w:space="0" w:color="auto"/>
      </w:divBdr>
    </w:div>
    <w:div w:id="610622780">
      <w:bodyDiv w:val="1"/>
      <w:marLeft w:val="0"/>
      <w:marRight w:val="0"/>
      <w:marTop w:val="0"/>
      <w:marBottom w:val="0"/>
      <w:divBdr>
        <w:top w:val="none" w:sz="0" w:space="0" w:color="auto"/>
        <w:left w:val="none" w:sz="0" w:space="0" w:color="auto"/>
        <w:bottom w:val="none" w:sz="0" w:space="0" w:color="auto"/>
        <w:right w:val="none" w:sz="0" w:space="0" w:color="auto"/>
      </w:divBdr>
    </w:div>
    <w:div w:id="1292174557">
      <w:bodyDiv w:val="1"/>
      <w:marLeft w:val="0"/>
      <w:marRight w:val="0"/>
      <w:marTop w:val="0"/>
      <w:marBottom w:val="0"/>
      <w:divBdr>
        <w:top w:val="none" w:sz="0" w:space="0" w:color="auto"/>
        <w:left w:val="none" w:sz="0" w:space="0" w:color="auto"/>
        <w:bottom w:val="none" w:sz="0" w:space="0" w:color="auto"/>
        <w:right w:val="none" w:sz="0" w:space="0" w:color="auto"/>
      </w:divBdr>
    </w:div>
    <w:div w:id="1742485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
      <w:docPartPr>
        <w:name w:val="18CD1B8861D24349BB566DFEBEA895C6"/>
        <w:category>
          <w:name w:val="General"/>
          <w:gallery w:val="placeholder"/>
        </w:category>
        <w:types>
          <w:type w:val="bbPlcHdr"/>
        </w:types>
        <w:behaviors>
          <w:behavior w:val="content"/>
        </w:behaviors>
        <w:guid w:val="{77EFC185-4D25-6B4D-8401-D6BB49054C49}"/>
      </w:docPartPr>
      <w:docPartBody>
        <w:p w:rsidR="00000000" w:rsidRDefault="00723902" w:rsidP="00723902">
          <w:pPr>
            <w:pStyle w:val="18CD1B8861D24349BB566DFEBEA895C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723902"/>
    <w:rsid w:val="00CB5656"/>
    <w:rsid w:val="00E04D34"/>
    <w:rsid w:val="00E42088"/>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23902"/>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 w:type="paragraph" w:customStyle="1" w:styleId="FAAAB28BD6E41D478671E94777D4C4CD">
    <w:name w:val="FAAAB28BD6E41D478671E94777D4C4CD"/>
    <w:rsid w:val="00723902"/>
    <w:pPr>
      <w:spacing w:after="0" w:line="240" w:lineRule="auto"/>
    </w:pPr>
    <w:rPr>
      <w:sz w:val="24"/>
      <w:szCs w:val="24"/>
    </w:rPr>
  </w:style>
  <w:style w:type="paragraph" w:customStyle="1" w:styleId="2CA486D8317CE94291313BE43473BE71">
    <w:name w:val="2CA486D8317CE94291313BE43473BE71"/>
    <w:rsid w:val="00723902"/>
    <w:pPr>
      <w:spacing w:after="0" w:line="240" w:lineRule="auto"/>
    </w:pPr>
    <w:rPr>
      <w:sz w:val="24"/>
      <w:szCs w:val="24"/>
    </w:rPr>
  </w:style>
  <w:style w:type="paragraph" w:customStyle="1" w:styleId="18CD1B8861D24349BB566DFEBEA895C6">
    <w:name w:val="18CD1B8861D24349BB566DFEBEA895C6"/>
    <w:rsid w:val="0072390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2.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1471E9-3E7C-4563-AD11-AEB66D0282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Doan, Hien</cp:lastModifiedBy>
  <cp:revision>11</cp:revision>
  <dcterms:created xsi:type="dcterms:W3CDTF">2020-09-02T03:19:00Z</dcterms:created>
  <dcterms:modified xsi:type="dcterms:W3CDTF">2020-09-24T02:49:00Z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