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:rsidR="00692E4D" w:rsidRDefault="00597B55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2A-3</w:t>
                </w:r>
                <w:r w:rsidR="00EB72DD">
                  <w:rPr>
                    <w:b/>
                  </w:rPr>
                  <w:t xml:space="preserve">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:rsidR="00692E4D" w:rsidRDefault="00EB72DD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Chante Parker (D3), Anna Goetz (D4), Courtney </w:t>
                </w:r>
                <w:proofErr w:type="spellStart"/>
                <w:r>
                  <w:rPr>
                    <w:b/>
                  </w:rPr>
                  <w:t>Pagenkopf</w:t>
                </w:r>
                <w:proofErr w:type="spellEnd"/>
                <w:r>
                  <w:rPr>
                    <w:b/>
                  </w:rPr>
                  <w:t xml:space="preserve"> (D2), Elyse Cao (D1), Meghan Ryan (D1)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:rsidR="00692E4D" w:rsidRDefault="00B056B8" w:rsidP="009A028B">
                <w:pPr>
                  <w:spacing w:line="240" w:lineRule="auto"/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In periodontally stable posterior teeth, is It better to do elective endodontic treatment followed by post/ core placement and crown</w:t>
                </w:r>
                <w:r w:rsidR="009A028B">
                  <w:rPr>
                    <w:b/>
                  </w:rPr>
                  <w:t>, or is it better to extract and place implants for an implant supported bridge?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:rsidR="00692E4D" w:rsidRDefault="00CE630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patients with periodontally stable teeth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:rsidR="00692E4D" w:rsidRDefault="00CE630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Endo post/core/crown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:rsidR="00692E4D" w:rsidRDefault="00CE630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EXT and implant bridge placement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:rsidR="00692E4D" w:rsidRDefault="00CE630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More predictable and successful long term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:rsidR="00692E4D" w:rsidRDefault="00732E55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In patients with periodontally stable </w:t>
                </w:r>
                <w:proofErr w:type="spellStart"/>
                <w:r>
                  <w:rPr>
                    <w:b/>
                  </w:rPr>
                  <w:t>teth</w:t>
                </w:r>
                <w:proofErr w:type="spellEnd"/>
                <w:r>
                  <w:rPr>
                    <w:b/>
                  </w:rPr>
                  <w:t xml:space="preserve">, is endo/post/core/crown or EXT and implant bridge placement more predictable and successful long-term?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</w:sdtPr>
          <w:sdtEndPr>
            <w:rPr>
              <w:b w:val="0"/>
            </w:rPr>
          </w:sdtEndPr>
          <w:sdtContent>
            <w:tc>
              <w:tcPr>
                <w:tcW w:w="8640" w:type="dxa"/>
              </w:tcPr>
              <w:p w:rsidR="001346EE" w:rsidRDefault="001346EE" w:rsidP="001346EE">
                <w:pPr>
                  <w:pStyle w:val="NormalWeb"/>
                  <w:spacing w:before="0" w:beforeAutospacing="0" w:after="320" w:afterAutospacing="0"/>
                  <w:rPr>
                    <w:b/>
                  </w:rPr>
                </w:pPr>
                <w:r>
                  <w:rPr>
                    <w:b/>
                  </w:rPr>
                  <w:t xml:space="preserve">The patient wants to maintain and fix tooth #20. Research and clinical judgment/ expertise </w:t>
                </w:r>
                <w:proofErr w:type="spellStart"/>
                <w:r>
                  <w:rPr>
                    <w:b/>
                  </w:rPr>
                  <w:t>leas</w:t>
                </w:r>
                <w:proofErr w:type="spellEnd"/>
                <w:r>
                  <w:rPr>
                    <w:b/>
                  </w:rPr>
                  <w:t xml:space="preserve"> us to suggest and support the patient’s decision to elect for </w:t>
                </w:r>
                <w:proofErr w:type="spellStart"/>
                <w:r>
                  <w:rPr>
                    <w:b/>
                  </w:rPr>
                  <w:t>endodntic</w:t>
                </w:r>
                <w:proofErr w:type="spellEnd"/>
                <w:r>
                  <w:rPr>
                    <w:b/>
                  </w:rPr>
                  <w:t xml:space="preserve"> treatment with post and core and crown restoration. Research supports endodontic treatment versus implant therapy due to:</w:t>
                </w:r>
              </w:p>
              <w:p w:rsidR="001346EE" w:rsidRDefault="001346EE" w:rsidP="001346EE">
                <w:pPr>
                  <w:pStyle w:val="NormalWeb"/>
                  <w:numPr>
                    <w:ilvl w:val="0"/>
                    <w:numId w:val="11"/>
                  </w:numPr>
                  <w:spacing w:before="0" w:beforeAutospacing="0" w:after="320" w:afterAutospacing="0"/>
                  <w:rPr>
                    <w:b/>
                  </w:rPr>
                </w:pPr>
                <w:r>
                  <w:rPr>
                    <w:b/>
                  </w:rPr>
                  <w:t>Good success/ survival rates (&gt;90%)</w:t>
                </w:r>
              </w:p>
              <w:p w:rsidR="001346EE" w:rsidRDefault="001346EE" w:rsidP="001346EE">
                <w:pPr>
                  <w:pStyle w:val="NormalWeb"/>
                  <w:numPr>
                    <w:ilvl w:val="0"/>
                    <w:numId w:val="11"/>
                  </w:numPr>
                  <w:spacing w:before="0" w:beforeAutospacing="0" w:after="320" w:afterAutospacing="0"/>
                  <w:rPr>
                    <w:b/>
                  </w:rPr>
                </w:pPr>
                <w:r>
                  <w:rPr>
                    <w:b/>
                  </w:rPr>
                  <w:t>More predictable outcomes</w:t>
                </w:r>
              </w:p>
              <w:p w:rsidR="001346EE" w:rsidRDefault="001346EE" w:rsidP="001346EE">
                <w:pPr>
                  <w:pStyle w:val="NormalWeb"/>
                  <w:numPr>
                    <w:ilvl w:val="0"/>
                    <w:numId w:val="11"/>
                  </w:numPr>
                  <w:spacing w:before="0" w:beforeAutospacing="0" w:after="320" w:afterAutospacing="0"/>
                  <w:rPr>
                    <w:b/>
                  </w:rPr>
                </w:pPr>
                <w:r>
                  <w:rPr>
                    <w:b/>
                  </w:rPr>
                  <w:t>Less chance of subsequent complications</w:t>
                </w:r>
              </w:p>
              <w:p w:rsidR="001346EE" w:rsidRDefault="001346EE" w:rsidP="001346EE">
                <w:pPr>
                  <w:pStyle w:val="NormalWeb"/>
                  <w:numPr>
                    <w:ilvl w:val="0"/>
                    <w:numId w:val="11"/>
                  </w:numPr>
                  <w:spacing w:before="0" w:beforeAutospacing="0" w:after="320" w:afterAutospacing="0"/>
                  <w:rPr>
                    <w:b/>
                  </w:rPr>
                </w:pPr>
                <w:r>
                  <w:rPr>
                    <w:b/>
                  </w:rPr>
                  <w:t xml:space="preserve">Less need for intervention </w:t>
                </w:r>
              </w:p>
              <w:p w:rsidR="00692E4D" w:rsidRPr="009A028B" w:rsidRDefault="001346EE" w:rsidP="009A028B">
                <w:pPr>
                  <w:pStyle w:val="NormalWeb"/>
                  <w:numPr>
                    <w:ilvl w:val="0"/>
                    <w:numId w:val="11"/>
                  </w:numPr>
                  <w:spacing w:before="0" w:beforeAutospacing="0" w:after="320" w:afterAutospacing="0"/>
                  <w:rPr>
                    <w:b/>
                  </w:rPr>
                </w:pPr>
                <w:r>
                  <w:rPr>
                    <w:b/>
                  </w:rPr>
                  <w:t>Good overall patient acceptance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</w:sdtPr>
          <w:sdtEndPr/>
          <w:sdtContent>
            <w:tc>
              <w:tcPr>
                <w:tcW w:w="8640" w:type="dxa"/>
              </w:tcPr>
              <w:p w:rsidR="00692E4D" w:rsidRDefault="00CE630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September 5</w:t>
                </w:r>
                <w:r w:rsidRPr="00CE6306">
                  <w:rPr>
                    <w:b/>
                    <w:vertAlign w:val="superscript"/>
                  </w:rPr>
                  <w:t>th</w:t>
                </w:r>
                <w:r>
                  <w:rPr>
                    <w:b/>
                  </w:rPr>
                  <w:t xml:space="preserve"> and 12</w:t>
                </w:r>
                <w:r w:rsidRPr="00CE6306">
                  <w:rPr>
                    <w:b/>
                    <w:vertAlign w:val="superscript"/>
                  </w:rPr>
                  <w:t>th</w:t>
                </w: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Database(s) Used:</w:t>
            </w:r>
          </w:p>
        </w:tc>
      </w:tr>
      <w:tr w:rsidR="00692E4D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EndPr/>
          <w:sdtContent>
            <w:tc>
              <w:tcPr>
                <w:tcW w:w="8640" w:type="dxa"/>
              </w:tcPr>
              <w:p w:rsidR="00CE6306" w:rsidRDefault="00CE6306" w:rsidP="00692E4D">
                <w:pPr>
                  <w:ind w:left="0" w:firstLine="0"/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Pubmed</w:t>
                </w:r>
                <w:proofErr w:type="spellEnd"/>
                <w:r>
                  <w:rPr>
                    <w:b/>
                  </w:rPr>
                  <w:t xml:space="preserve"> </w:t>
                </w:r>
              </w:p>
              <w:p w:rsidR="00CE6306" w:rsidRDefault="00CE6306" w:rsidP="00692E4D">
                <w:pPr>
                  <w:ind w:left="0" w:firstLine="0"/>
                  <w:rPr>
                    <w:b/>
                  </w:rPr>
                </w:pPr>
              </w:p>
              <w:p w:rsidR="00692E4D" w:rsidRPr="00974240" w:rsidRDefault="00CE630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Journal References: Journal of Prosthetic Dentistry, Journal of Endodontics, and Journal of Dental Research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</w:sdtPr>
          <w:sdtEndPr/>
          <w:sdtContent>
            <w:tc>
              <w:tcPr>
                <w:tcW w:w="8640" w:type="dxa"/>
              </w:tcPr>
              <w:p w:rsidR="009A028B" w:rsidRDefault="009A028B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Studies containing information related to the predictability, success, and survival rates of implant therapy versus </w:t>
                </w:r>
                <w:proofErr w:type="spellStart"/>
                <w:r>
                  <w:rPr>
                    <w:b/>
                  </w:rPr>
                  <w:t>endontic</w:t>
                </w:r>
                <w:proofErr w:type="spellEnd"/>
                <w:r>
                  <w:rPr>
                    <w:b/>
                  </w:rPr>
                  <w:t xml:space="preserve"> therapy. </w:t>
                </w:r>
              </w:p>
              <w:p w:rsidR="00692E4D" w:rsidRPr="00974240" w:rsidRDefault="009A028B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Keywords: dental prosthesis- implant supported, post and core, success, survival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</w:sdtPr>
          <w:sdtEndPr/>
          <w:sdtContent>
            <w:tc>
              <w:tcPr>
                <w:tcW w:w="8640" w:type="dxa"/>
              </w:tcPr>
              <w:p w:rsidR="00692E4D" w:rsidRPr="00974240" w:rsidRDefault="00CE630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Tooth extraction, dental implant, dental prosthesis- implant supported, endodontic therapy, root canal therapy, crowns, post and core technique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</w:sdtPr>
          <w:sdtEndPr/>
          <w:sdtContent>
            <w:tc>
              <w:tcPr>
                <w:tcW w:w="8640" w:type="dxa"/>
              </w:tcPr>
              <w:p w:rsidR="00CE6306" w:rsidRDefault="009A028B" w:rsidP="00CE6306">
                <w:pPr>
                  <w:pStyle w:val="NormalWeb"/>
                  <w:spacing w:before="0" w:beforeAutospacing="0" w:after="0" w:afterAutospacing="0"/>
                  <w:rPr>
                    <w:color w:val="000000"/>
                  </w:rPr>
                </w:pPr>
                <w:r>
                  <w:rPr>
                    <w:b/>
                  </w:rPr>
                  <w:t xml:space="preserve">Article 1: </w:t>
                </w:r>
                <w:r w:rsidR="00CE6306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Setzer, F C, and S Kim. “Comparison of long-term survival of implants and endodontically treated teeth.” </w:t>
                </w:r>
                <w:r w:rsidR="00CE6306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  <w:t>Journal of dental research</w:t>
                </w:r>
                <w:r w:rsidR="00CE6306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vol. 93,1 (2014): 19-26. doi:10.1177/0022034513504782</w:t>
                </w:r>
              </w:p>
              <w:p w:rsidR="00CE6306" w:rsidRDefault="00CE6306" w:rsidP="00CE6306">
                <w:pPr>
                  <w:spacing w:after="240"/>
                </w:pPr>
              </w:p>
              <w:p w:rsidR="00692E4D" w:rsidRPr="00CE6306" w:rsidRDefault="009A028B" w:rsidP="00CE6306">
                <w:pPr>
                  <w:pStyle w:val="NormalWeb"/>
                  <w:spacing w:before="0" w:beforeAutospacing="0" w:after="0" w:afterAutospacing="0"/>
                  <w:rPr>
                    <w:color w:val="000000"/>
                  </w:rPr>
                </w:pPr>
                <w:r>
                  <w:rPr>
                    <w:b/>
                  </w:rPr>
                  <w:t xml:space="preserve">Article </w:t>
                </w:r>
                <w:r>
                  <w:rPr>
                    <w:b/>
                  </w:rPr>
                  <w:t>2</w:t>
                </w:r>
                <w:r>
                  <w:rPr>
                    <w:b/>
                  </w:rPr>
                  <w:t xml:space="preserve">: </w:t>
                </w:r>
                <w:proofErr w:type="spellStart"/>
                <w:r w:rsidR="00CE6306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Torabinejad</w:t>
                </w:r>
                <w:proofErr w:type="spellEnd"/>
                <w:r w:rsidR="00CE6306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, M. et al. “Outcomes of root canal treatment and restoration, implant-supported single crowns, fixed partial dentures, and extraction without replacement: a systematic review.” </w:t>
                </w:r>
                <w:r w:rsidR="00CE6306">
                  <w:rPr>
                    <w:rFonts w:ascii="Arial" w:hAnsi="Arial" w:cs="Arial"/>
                    <w:i/>
                    <w:iCs/>
                    <w:color w:val="000000"/>
                    <w:sz w:val="21"/>
                    <w:szCs w:val="21"/>
                  </w:rPr>
                  <w:t>The Journal of prosthetic dentistry</w:t>
                </w:r>
                <w:r w:rsidR="00CE6306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98 4 (2007): 285-</w:t>
                </w:r>
                <w:proofErr w:type="gramStart"/>
                <w:r w:rsidR="00CE6306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311 .</w:t>
                </w:r>
                <w:proofErr w:type="gramEnd"/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</w:sdtPr>
          <w:sdtEndPr/>
          <w:sdtContent>
            <w:tc>
              <w:tcPr>
                <w:tcW w:w="8640" w:type="dxa"/>
              </w:tcPr>
              <w:p w:rsidR="009A028B" w:rsidRDefault="009A028B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Article 1:</w:t>
                </w:r>
                <w:r>
                  <w:rPr>
                    <w:b/>
                  </w:rPr>
                  <w:t xml:space="preserve"> Systematic Review/ </w:t>
                </w:r>
                <w:proofErr w:type="spellStart"/>
                <w:r>
                  <w:rPr>
                    <w:b/>
                  </w:rPr>
                  <w:t>Meta Analysis</w:t>
                </w:r>
                <w:proofErr w:type="spellEnd"/>
                <w:r>
                  <w:rPr>
                    <w:b/>
                  </w:rPr>
                  <w:t xml:space="preserve"> </w:t>
                </w:r>
              </w:p>
              <w:p w:rsidR="00692E4D" w:rsidRPr="006A2AEF" w:rsidRDefault="009A028B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Article </w:t>
                </w:r>
                <w:r>
                  <w:rPr>
                    <w:b/>
                  </w:rPr>
                  <w:t>2</w:t>
                </w:r>
                <w:r>
                  <w:rPr>
                    <w:b/>
                  </w:rPr>
                  <w:t>:</w:t>
                </w:r>
                <w:r>
                  <w:rPr>
                    <w:b/>
                  </w:rPr>
                  <w:t xml:space="preserve"> Systematic Review/ Meta Analysis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</w:sdtPr>
          <w:sdtEndPr/>
          <w:sdtContent>
            <w:tc>
              <w:tcPr>
                <w:tcW w:w="8640" w:type="dxa"/>
              </w:tcPr>
              <w:p w:rsidR="009A028B" w:rsidRDefault="009A028B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Article 1:</w:t>
                </w:r>
              </w:p>
              <w:p w:rsidR="00692E4D" w:rsidRPr="006A2AEF" w:rsidRDefault="009A028B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Article 1: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</w:sdtPr>
          <w:sdtEndPr/>
          <w:sdtContent>
            <w:tc>
              <w:tcPr>
                <w:tcW w:w="8640" w:type="dxa"/>
              </w:tcPr>
              <w:p w:rsidR="009A028B" w:rsidRDefault="009A028B" w:rsidP="002E6FF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Article 1:</w:t>
                </w:r>
              </w:p>
              <w:p w:rsidR="00692E4D" w:rsidRPr="006A2AEF" w:rsidRDefault="009A028B" w:rsidP="002E6FF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Article </w:t>
                </w:r>
                <w:r>
                  <w:rPr>
                    <w:b/>
                  </w:rPr>
                  <w:t>2</w:t>
                </w:r>
                <w:r>
                  <w:rPr>
                    <w:b/>
                  </w:rPr>
                  <w:t>: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:rsidR="004816C3" w:rsidRPr="009A3ACA" w:rsidRDefault="007C1F44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3DD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:rsidR="004816C3" w:rsidRPr="009A3ACA" w:rsidRDefault="007C1F44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:rsidR="004816C3" w:rsidRPr="009A3ACA" w:rsidRDefault="007C1F44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:rsidR="004816C3" w:rsidRPr="00E2331B" w:rsidRDefault="007C1F44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:rsidR="004816C3" w:rsidRPr="00E2331B" w:rsidRDefault="007C1F44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:rsidR="004816C3" w:rsidRPr="00E2331B" w:rsidRDefault="007C1F44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:rsidR="004816C3" w:rsidRPr="00944D52" w:rsidRDefault="007C1F44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:rsidR="004816C3" w:rsidRPr="00944D52" w:rsidRDefault="007C1F44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:rsidR="004816C3" w:rsidRDefault="007C1F44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:rsidR="004816C3" w:rsidRDefault="007C1F44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:rsidR="00692E4D" w:rsidRPr="004816C3" w:rsidRDefault="007C1F44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Strength of Recommendation Taxonomy (SORT) For Guidelines and Systematic Reviews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:rsidR="00692E4D" w:rsidRDefault="007C1F44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CC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>– Consistent, good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7C1F44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7C1F44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:rsidTr="002E6FF2">
        <w:sdt>
          <w:sdtPr>
            <w:rPr>
              <w:b/>
            </w:rPr>
            <w:id w:val="-1330988089"/>
            <w:showingPlcHdr/>
          </w:sdtPr>
          <w:sdtEndPr/>
          <w:sdtContent>
            <w:tc>
              <w:tcPr>
                <w:tcW w:w="8640" w:type="dxa"/>
              </w:tcPr>
              <w:p w:rsidR="002972EE" w:rsidRDefault="002972EE" w:rsidP="002972EE">
                <w:pPr>
                  <w:ind w:left="0" w:firstLine="0"/>
                </w:pPr>
                <w:r w:rsidRPr="00FF3E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112F5" w:rsidRDefault="004112F5" w:rsidP="00692E4D">
      <w:pPr>
        <w:pStyle w:val="ColorfulList-Accent11"/>
        <w:ind w:left="0" w:firstLine="0"/>
        <w:rPr>
          <w:b/>
        </w:rPr>
      </w:pPr>
    </w:p>
    <w:p w:rsidR="003B2868" w:rsidRDefault="003B2868" w:rsidP="00692E4D">
      <w:pPr>
        <w:pStyle w:val="ColorfulList-Accent11"/>
        <w:ind w:left="0" w:firstLine="0"/>
        <w:rPr>
          <w:b/>
        </w:rPr>
      </w:pPr>
    </w:p>
    <w:p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:rsidR="003B2868" w:rsidRDefault="003B2868" w:rsidP="00692E4D">
      <w:pPr>
        <w:ind w:left="0" w:firstLine="0"/>
        <w:rPr>
          <w:b/>
        </w:rPr>
      </w:pPr>
    </w:p>
    <w:p w:rsidR="006A2AEF" w:rsidRDefault="006A2AEF" w:rsidP="00692E4D">
      <w:pPr>
        <w:pStyle w:val="ColorfulList-Accent11"/>
        <w:ind w:left="0" w:firstLine="0"/>
      </w:pPr>
    </w:p>
    <w:p w:rsidR="003B2868" w:rsidRPr="00746A56" w:rsidRDefault="003B2868" w:rsidP="00692E4D">
      <w:pPr>
        <w:pStyle w:val="ColorfulList-Accent11"/>
        <w:ind w:left="0" w:firstLine="0"/>
      </w:pPr>
    </w:p>
    <w:p w:rsidR="004112F5" w:rsidRDefault="004112F5" w:rsidP="00692E4D">
      <w:pPr>
        <w:ind w:left="0" w:firstLine="0"/>
      </w:pPr>
    </w:p>
    <w:p w:rsidR="004112F5" w:rsidRPr="00355808" w:rsidRDefault="004112F5" w:rsidP="00692E4D">
      <w:pPr>
        <w:ind w:left="0" w:firstLine="0"/>
      </w:pPr>
      <w:r>
        <w:t xml:space="preserve">    </w:t>
      </w:r>
    </w:p>
    <w:p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1F44" w:rsidRDefault="007C1F44" w:rsidP="00692E4D">
      <w:pPr>
        <w:spacing w:after="0" w:line="240" w:lineRule="auto"/>
      </w:pPr>
      <w:r>
        <w:separator/>
      </w:r>
    </w:p>
  </w:endnote>
  <w:endnote w:type="continuationSeparator" w:id="0">
    <w:p w:rsidR="007C1F44" w:rsidRDefault="007C1F44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1F44" w:rsidRDefault="007C1F44" w:rsidP="00692E4D">
      <w:pPr>
        <w:spacing w:after="0" w:line="240" w:lineRule="auto"/>
      </w:pPr>
      <w:r>
        <w:separator/>
      </w:r>
    </w:p>
  </w:footnote>
  <w:footnote w:type="continuationSeparator" w:id="0">
    <w:p w:rsidR="007C1F44" w:rsidRDefault="007C1F44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E49C6"/>
    <w:multiLevelType w:val="multilevel"/>
    <w:tmpl w:val="E736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9F4D3F"/>
    <w:multiLevelType w:val="hybridMultilevel"/>
    <w:tmpl w:val="53403ECE"/>
    <w:lvl w:ilvl="0" w:tplc="B6428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1346EE"/>
    <w:rsid w:val="00192604"/>
    <w:rsid w:val="001C073A"/>
    <w:rsid w:val="002967BF"/>
    <w:rsid w:val="002972EE"/>
    <w:rsid w:val="002E6FF2"/>
    <w:rsid w:val="003B2868"/>
    <w:rsid w:val="004112F5"/>
    <w:rsid w:val="004816C3"/>
    <w:rsid w:val="004B1110"/>
    <w:rsid w:val="00597B55"/>
    <w:rsid w:val="005F06DC"/>
    <w:rsid w:val="00657CF8"/>
    <w:rsid w:val="00672CAF"/>
    <w:rsid w:val="00692E4D"/>
    <w:rsid w:val="006A2AEF"/>
    <w:rsid w:val="006A5E4B"/>
    <w:rsid w:val="007278F8"/>
    <w:rsid w:val="00732E55"/>
    <w:rsid w:val="00746A56"/>
    <w:rsid w:val="007C1F44"/>
    <w:rsid w:val="0084217E"/>
    <w:rsid w:val="008A3451"/>
    <w:rsid w:val="009A028B"/>
    <w:rsid w:val="009D23DD"/>
    <w:rsid w:val="00A228DA"/>
    <w:rsid w:val="00B056B8"/>
    <w:rsid w:val="00CE6306"/>
    <w:rsid w:val="00DD26F4"/>
    <w:rsid w:val="00DD6DCC"/>
    <w:rsid w:val="00E4293E"/>
    <w:rsid w:val="00EB72DD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86082C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E630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53538D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Props1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Parker, Chante</cp:lastModifiedBy>
  <cp:revision>3</cp:revision>
  <dcterms:created xsi:type="dcterms:W3CDTF">2020-09-24T05:52:00Z</dcterms:created>
  <dcterms:modified xsi:type="dcterms:W3CDTF">2020-09-24T06:00:00Z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