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C996C50" w14:textId="77777777" w:rsidTr="00292BEF">
        <w:tc>
          <w:tcPr>
            <w:tcW w:w="9576" w:type="dxa"/>
          </w:tcPr>
          <w:p w14:paraId="4A86B34D" w14:textId="77777777" w:rsidR="009E5F3C" w:rsidRPr="00CA07DB" w:rsidRDefault="009E5F3C" w:rsidP="009E5F3C">
            <w:pPr>
              <w:rPr>
                <w:b/>
              </w:rPr>
            </w:pPr>
            <w:r w:rsidRPr="00CA07DB">
              <w:rPr>
                <w:b/>
              </w:rPr>
              <w:t>Name:</w:t>
            </w:r>
          </w:p>
        </w:tc>
      </w:tr>
      <w:tr w:rsidR="009E5F3C" w14:paraId="7CD53FFF" w14:textId="77777777" w:rsidTr="00292BEF">
        <w:sdt>
          <w:sdtPr>
            <w:id w:val="-1616523060"/>
            <w:placeholder>
              <w:docPart w:val="02972703BAF4453BA63C937D54134515"/>
            </w:placeholder>
          </w:sdtPr>
          <w:sdtEndPr/>
          <w:sdtContent>
            <w:tc>
              <w:tcPr>
                <w:tcW w:w="9576" w:type="dxa"/>
              </w:tcPr>
              <w:p w14:paraId="14DCFCA7" w14:textId="1E3E2A0A" w:rsidR="009E5F3C" w:rsidRDefault="00E47A74" w:rsidP="00AD0B2B">
                <w:r>
                  <w:t>Tyler Osterday</w:t>
                </w:r>
              </w:p>
            </w:tc>
          </w:sdtContent>
        </w:sdt>
      </w:tr>
      <w:tr w:rsidR="009E5F3C" w14:paraId="0A1F05E5" w14:textId="77777777" w:rsidTr="00292BEF">
        <w:tc>
          <w:tcPr>
            <w:tcW w:w="9576" w:type="dxa"/>
          </w:tcPr>
          <w:p w14:paraId="1C0515B8" w14:textId="77777777" w:rsidR="009E5F3C" w:rsidRPr="00CA07DB" w:rsidRDefault="009E5F3C" w:rsidP="00292BEF">
            <w:pPr>
              <w:rPr>
                <w:b/>
              </w:rPr>
            </w:pPr>
            <w:r>
              <w:rPr>
                <w:b/>
              </w:rPr>
              <w:t>Group</w:t>
            </w:r>
            <w:r w:rsidRPr="00CA07DB">
              <w:rPr>
                <w:b/>
              </w:rPr>
              <w:t>:</w:t>
            </w:r>
          </w:p>
        </w:tc>
      </w:tr>
      <w:tr w:rsidR="009E5F3C" w14:paraId="094679A7" w14:textId="77777777" w:rsidTr="00292BEF">
        <w:sdt>
          <w:sdtPr>
            <w:id w:val="-1249565243"/>
            <w:placeholder>
              <w:docPart w:val="6CE4961570204F4694FFE78BC98DD887"/>
            </w:placeholder>
          </w:sdtPr>
          <w:sdtEndPr/>
          <w:sdtContent>
            <w:tc>
              <w:tcPr>
                <w:tcW w:w="9576" w:type="dxa"/>
              </w:tcPr>
              <w:p w14:paraId="6331D1B2" w14:textId="029D77A7" w:rsidR="009E5F3C" w:rsidRDefault="00E47A74" w:rsidP="00CA07DB">
                <w:r>
                  <w:t>8B-4</w:t>
                </w:r>
              </w:p>
            </w:tc>
          </w:sdtContent>
        </w:sdt>
      </w:tr>
      <w:tr w:rsidR="009E5F3C" w14:paraId="26386532" w14:textId="77777777" w:rsidTr="00292BEF">
        <w:tc>
          <w:tcPr>
            <w:tcW w:w="9576" w:type="dxa"/>
          </w:tcPr>
          <w:p w14:paraId="6FB5A2EE" w14:textId="77777777" w:rsidR="009E5F3C" w:rsidRPr="00CA07DB" w:rsidRDefault="009E5F3C" w:rsidP="009E5F3C">
            <w:pPr>
              <w:rPr>
                <w:b/>
              </w:rPr>
            </w:pPr>
            <w:r>
              <w:rPr>
                <w:b/>
              </w:rPr>
              <w:t>Basic Science Question</w:t>
            </w:r>
            <w:r w:rsidRPr="00CA07DB">
              <w:rPr>
                <w:b/>
              </w:rPr>
              <w:t>:</w:t>
            </w:r>
          </w:p>
        </w:tc>
      </w:tr>
      <w:tr w:rsidR="009E5F3C" w14:paraId="73795E24" w14:textId="77777777" w:rsidTr="00292BEF">
        <w:sdt>
          <w:sdtPr>
            <w:id w:val="1729411323"/>
            <w:placeholder>
              <w:docPart w:val="C2815E99CDA84C31B81ABC34C42C3183"/>
            </w:placeholder>
          </w:sdtPr>
          <w:sdtEndPr/>
          <w:sdtContent>
            <w:tc>
              <w:tcPr>
                <w:tcW w:w="9576" w:type="dxa"/>
              </w:tcPr>
              <w:p w14:paraId="5C8EF5D2" w14:textId="086AA2E0" w:rsidR="009E5F3C" w:rsidRDefault="00DE18BF" w:rsidP="00AD0B2B">
                <w:r>
                  <w:t>What is the inferior alveolar nerve?</w:t>
                </w:r>
              </w:p>
            </w:tc>
          </w:sdtContent>
        </w:sdt>
      </w:tr>
      <w:tr w:rsidR="009E5F3C" w14:paraId="0F83FCCA" w14:textId="77777777" w:rsidTr="00292BEF">
        <w:tc>
          <w:tcPr>
            <w:tcW w:w="9576" w:type="dxa"/>
          </w:tcPr>
          <w:p w14:paraId="121D77A7" w14:textId="77777777" w:rsidR="009E5F3C" w:rsidRPr="00CA07DB" w:rsidRDefault="009E5F3C" w:rsidP="00292BEF">
            <w:pPr>
              <w:rPr>
                <w:b/>
              </w:rPr>
            </w:pPr>
            <w:r>
              <w:rPr>
                <w:b/>
              </w:rPr>
              <w:t>Report</w:t>
            </w:r>
            <w:r w:rsidRPr="00CA07DB">
              <w:rPr>
                <w:b/>
              </w:rPr>
              <w:t>:</w:t>
            </w:r>
          </w:p>
        </w:tc>
      </w:tr>
      <w:tr w:rsidR="009E5F3C" w14:paraId="001588C7" w14:textId="77777777" w:rsidTr="00292BEF">
        <w:sdt>
          <w:sdtPr>
            <w:id w:val="-343781582"/>
            <w:placeholder>
              <w:docPart w:val="2F8D231325654E9AB46B3D49F60F909D"/>
            </w:placeholder>
          </w:sdtPr>
          <w:sdtEndPr/>
          <w:sdtContent>
            <w:tc>
              <w:tcPr>
                <w:tcW w:w="9576" w:type="dxa"/>
              </w:tcPr>
              <w:p w14:paraId="2607F55C" w14:textId="7F5F17A7" w:rsidR="00DE18BF" w:rsidRDefault="00DE18BF" w:rsidP="00DE18BF">
                <w:pPr>
                  <w:ind w:firstLine="720"/>
                  <w:rPr>
                    <w:szCs w:val="24"/>
                  </w:rPr>
                </w:pPr>
                <w:r>
                  <w:rPr>
                    <w:szCs w:val="24"/>
                  </w:rPr>
                  <w:t>The inferior alveolar nerve is a branch of the trigeminal nerve’s mandibular division (CN V3). The function of the inferior alveolar nerve is sensory innervation of the gingiva and mandibular teeth. Prior to the inferior alveolar nerve’s entry of the mandibular foramen, it branches into the mylohyoid nerve which provides motor innervation to the mylohyoid and anterior digastric muscles. The inferior alveolar nerve continues to track through the mandible in the mandibular canal before exiting through the mental foramen. Upon exiting the mandibular canal, the inferior alveolar nerve branches into its second terminal branch, called the mental nerve. The mental nerve’s function is to provide sensory innervation to the chin, lower lip and the anterior gingiva of the mandible.</w:t>
                </w:r>
              </w:p>
              <w:p w14:paraId="7E1B51AF" w14:textId="77777777" w:rsidR="00DE18BF" w:rsidRDefault="00DE18BF" w:rsidP="00DE18BF">
                <w:pPr>
                  <w:ind w:firstLine="720"/>
                  <w:rPr>
                    <w:szCs w:val="24"/>
                  </w:rPr>
                </w:pPr>
              </w:p>
              <w:p w14:paraId="1A5C859E" w14:textId="77777777" w:rsidR="00DE18BF" w:rsidRPr="00A06A61" w:rsidRDefault="00DE18BF" w:rsidP="00DE18BF">
                <w:pPr>
                  <w:ind w:firstLine="720"/>
                  <w:rPr>
                    <w:szCs w:val="24"/>
                  </w:rPr>
                </w:pPr>
                <w:r>
                  <w:rPr>
                    <w:szCs w:val="24"/>
                  </w:rPr>
                  <w:t xml:space="preserve"> The clinical implication of the inferior alveolar nerve is that it is often the target for the anesthetic prior to treatment in order to provide a painless experience. The most common technique used for inferior alveolar nerve block is to target the inferior alveolar nerve in the pterygomandibular space. Proper administration of the anesthetic results in complete anesthetization from the pterygomandibular space to the midline of the mandible. When forming a treatment plan for a surgically integrated prosthetic implant on the mandibular alveolar ridge, the location of inferior alveolar nerve must be considered. Trauma or damage to the nerve could cause permanent loss of sensation. </w:t>
                </w:r>
              </w:p>
              <w:p w14:paraId="558590EC" w14:textId="6A7EC4E7" w:rsidR="009E5F3C" w:rsidRDefault="009E5F3C" w:rsidP="00292BEF"/>
            </w:tc>
          </w:sdtContent>
        </w:sdt>
      </w:tr>
      <w:tr w:rsidR="009E5F3C" w14:paraId="35E7248B" w14:textId="77777777" w:rsidTr="00292BEF">
        <w:tc>
          <w:tcPr>
            <w:tcW w:w="9576" w:type="dxa"/>
          </w:tcPr>
          <w:p w14:paraId="552CE201" w14:textId="77777777" w:rsidR="009E5F3C" w:rsidRPr="00CA07DB" w:rsidRDefault="009E5F3C" w:rsidP="009E5F3C">
            <w:pPr>
              <w:rPr>
                <w:b/>
              </w:rPr>
            </w:pPr>
            <w:r w:rsidRPr="00CA07DB">
              <w:rPr>
                <w:b/>
              </w:rPr>
              <w:t>R</w:t>
            </w:r>
            <w:r>
              <w:rPr>
                <w:b/>
              </w:rPr>
              <w:t>eferences</w:t>
            </w:r>
            <w:r w:rsidRPr="00CA07DB">
              <w:rPr>
                <w:b/>
              </w:rPr>
              <w:t>:</w:t>
            </w:r>
          </w:p>
        </w:tc>
      </w:tr>
      <w:tr w:rsidR="009E5F3C" w14:paraId="4B6CC113" w14:textId="77777777" w:rsidTr="00292BEF">
        <w:sdt>
          <w:sdtPr>
            <w:id w:val="212933590"/>
            <w:placeholder>
              <w:docPart w:val="C4991867720F49C19930584789DA5267"/>
            </w:placeholder>
          </w:sdtPr>
          <w:sdtEndPr/>
          <w:sdtContent>
            <w:tc>
              <w:tcPr>
                <w:tcW w:w="9576" w:type="dxa"/>
              </w:tcPr>
              <w:p w14:paraId="69761FFF" w14:textId="6E12D461" w:rsidR="00D62DCF" w:rsidRDefault="00D62DCF" w:rsidP="00D62DCF">
                <w:pPr>
                  <w:rPr>
                    <w:color w:val="303030"/>
                    <w:szCs w:val="24"/>
                    <w:shd w:val="clear" w:color="auto" w:fill="FFFFFF"/>
                  </w:rPr>
                </w:pPr>
                <w:r w:rsidRPr="004378DF">
                  <w:rPr>
                    <w:color w:val="303030"/>
                    <w:szCs w:val="24"/>
                    <w:shd w:val="clear" w:color="auto" w:fill="FFFFFF"/>
                  </w:rPr>
                  <w:t xml:space="preserve">Wolf KT, Brokaw EJ, Bell A, Joy A. Variant Inferior Alveolar Nerves and Implications for </w:t>
                </w:r>
                <w:r>
                  <w:rPr>
                    <w:color w:val="303030"/>
                    <w:szCs w:val="24"/>
                    <w:shd w:val="clear" w:color="auto" w:fill="FFFFFF"/>
                  </w:rPr>
                  <w:tab/>
                </w:r>
                <w:r w:rsidRPr="004378DF">
                  <w:rPr>
                    <w:color w:val="303030"/>
                    <w:szCs w:val="24"/>
                    <w:shd w:val="clear" w:color="auto" w:fill="FFFFFF"/>
                  </w:rPr>
                  <w:t>Local Anesthesia. </w:t>
                </w:r>
                <w:proofErr w:type="spellStart"/>
                <w:r w:rsidRPr="004378DF">
                  <w:rPr>
                    <w:i/>
                    <w:iCs/>
                    <w:color w:val="303030"/>
                    <w:szCs w:val="24"/>
                    <w:shd w:val="clear" w:color="auto" w:fill="FFFFFF"/>
                  </w:rPr>
                  <w:t>Anesth</w:t>
                </w:r>
                <w:proofErr w:type="spellEnd"/>
                <w:r w:rsidRPr="004378DF">
                  <w:rPr>
                    <w:i/>
                    <w:iCs/>
                    <w:color w:val="303030"/>
                    <w:szCs w:val="24"/>
                    <w:shd w:val="clear" w:color="auto" w:fill="FFFFFF"/>
                  </w:rPr>
                  <w:t xml:space="preserve"> Prog</w:t>
                </w:r>
                <w:r w:rsidRPr="004378DF">
                  <w:rPr>
                    <w:color w:val="303030"/>
                    <w:szCs w:val="24"/>
                    <w:shd w:val="clear" w:color="auto" w:fill="FFFFFF"/>
                  </w:rPr>
                  <w:t>. 2016;63(2):84-90. doi:10.2344/0003-3006-63.2.84</w:t>
                </w:r>
              </w:p>
              <w:p w14:paraId="636A7A8F" w14:textId="77777777" w:rsidR="00D62DCF" w:rsidRPr="004378DF" w:rsidRDefault="00D62DCF" w:rsidP="00D62DCF">
                <w:pPr>
                  <w:rPr>
                    <w:szCs w:val="24"/>
                  </w:rPr>
                </w:pPr>
              </w:p>
              <w:p w14:paraId="73B65C50" w14:textId="1BD4C444" w:rsidR="00D62DCF" w:rsidRDefault="00D62DCF" w:rsidP="00D62DCF">
                <w:pPr>
                  <w:rPr>
                    <w:szCs w:val="24"/>
                  </w:rPr>
                </w:pPr>
                <w:r w:rsidRPr="004378DF">
                  <w:rPr>
                    <w:color w:val="303030"/>
                    <w:szCs w:val="24"/>
                    <w:shd w:val="clear" w:color="auto" w:fill="FFFFFF"/>
                  </w:rPr>
                  <w:t xml:space="preserve">Choi, P., Iwanaga, J., Dupont, G., </w:t>
                </w:r>
                <w:proofErr w:type="spellStart"/>
                <w:r w:rsidRPr="004378DF">
                  <w:rPr>
                    <w:color w:val="303030"/>
                    <w:szCs w:val="24"/>
                    <w:shd w:val="clear" w:color="auto" w:fill="FFFFFF"/>
                  </w:rPr>
                  <w:t>Oskouian</w:t>
                </w:r>
                <w:proofErr w:type="spellEnd"/>
                <w:r w:rsidRPr="004378DF">
                  <w:rPr>
                    <w:color w:val="303030"/>
                    <w:szCs w:val="24"/>
                    <w:shd w:val="clear" w:color="auto" w:fill="FFFFFF"/>
                  </w:rPr>
                  <w:t>, R. J., &amp; Tubbs, R. S. (2019). Clinical anatomy of</w:t>
                </w:r>
                <w:r>
                  <w:rPr>
                    <w:color w:val="303030"/>
                    <w:szCs w:val="24"/>
                    <w:shd w:val="clear" w:color="auto" w:fill="FFFFFF"/>
                  </w:rPr>
                  <w:tab/>
                </w:r>
                <w:r w:rsidRPr="004378DF">
                  <w:rPr>
                    <w:color w:val="303030"/>
                    <w:szCs w:val="24"/>
                    <w:shd w:val="clear" w:color="auto" w:fill="FFFFFF"/>
                  </w:rPr>
                  <w:t>the nerve to the mylohyoid. </w:t>
                </w:r>
                <w:r w:rsidRPr="004378DF">
                  <w:rPr>
                    <w:i/>
                    <w:iCs/>
                    <w:color w:val="303030"/>
                    <w:szCs w:val="24"/>
                    <w:shd w:val="clear" w:color="auto" w:fill="FFFFFF"/>
                  </w:rPr>
                  <w:t>Anatomy &amp; cell biology</w:t>
                </w:r>
                <w:r w:rsidRPr="004378DF">
                  <w:rPr>
                    <w:color w:val="303030"/>
                    <w:szCs w:val="24"/>
                    <w:shd w:val="clear" w:color="auto" w:fill="FFFFFF"/>
                  </w:rPr>
                  <w:t>, </w:t>
                </w:r>
                <w:r w:rsidRPr="004378DF">
                  <w:rPr>
                    <w:i/>
                    <w:iCs/>
                    <w:color w:val="303030"/>
                    <w:szCs w:val="24"/>
                    <w:shd w:val="clear" w:color="auto" w:fill="FFFFFF"/>
                  </w:rPr>
                  <w:t>52</w:t>
                </w:r>
                <w:r w:rsidRPr="004378DF">
                  <w:rPr>
                    <w:color w:val="303030"/>
                    <w:szCs w:val="24"/>
                    <w:shd w:val="clear" w:color="auto" w:fill="FFFFFF"/>
                  </w:rPr>
                  <w:t>(1), 12–16.</w:t>
                </w:r>
                <w:r>
                  <w:rPr>
                    <w:color w:val="303030"/>
                    <w:szCs w:val="24"/>
                    <w:shd w:val="clear" w:color="auto" w:fill="FFFFFF"/>
                  </w:rPr>
                  <w:t xml:space="preserve"> </w:t>
                </w:r>
                <w:proofErr w:type="spellStart"/>
                <w:r>
                  <w:rPr>
                    <w:color w:val="303030"/>
                    <w:szCs w:val="24"/>
                    <w:shd w:val="clear" w:color="auto" w:fill="FFFFFF"/>
                  </w:rPr>
                  <w:t>d</w:t>
                </w:r>
                <w:r>
                  <w:rPr>
                    <w:color w:val="303030"/>
                    <w:szCs w:val="24"/>
                    <w:shd w:val="clear" w:color="auto" w:fill="FFFFFF"/>
                  </w:rPr>
                  <w:t>oi</w:t>
                </w:r>
                <w:proofErr w:type="spellEnd"/>
                <w:r>
                  <w:rPr>
                    <w:color w:val="303030"/>
                    <w:szCs w:val="24"/>
                    <w:shd w:val="clear" w:color="auto" w:fill="FFFFFF"/>
                  </w:rPr>
                  <w:t xml:space="preserve">: </w:t>
                </w:r>
                <w:r>
                  <w:rPr>
                    <w:color w:val="303030"/>
                    <w:szCs w:val="24"/>
                    <w:shd w:val="clear" w:color="auto" w:fill="FFFFFF"/>
                  </w:rPr>
                  <w:tab/>
                  <w:t>1</w:t>
                </w:r>
                <w:r w:rsidRPr="004378DF">
                  <w:rPr>
                    <w:szCs w:val="24"/>
                  </w:rPr>
                  <w:t>0.5115/acb.2019.52.1.12</w:t>
                </w:r>
              </w:p>
              <w:p w14:paraId="4C7A2E35" w14:textId="77777777" w:rsidR="00D62DCF" w:rsidRDefault="00D62DCF" w:rsidP="00D62DCF">
                <w:pPr>
                  <w:rPr>
                    <w:color w:val="303030"/>
                    <w:szCs w:val="24"/>
                    <w:shd w:val="clear" w:color="auto" w:fill="FFFFFF"/>
                  </w:rPr>
                </w:pPr>
              </w:p>
              <w:p w14:paraId="360071BC" w14:textId="786C4EAA" w:rsidR="00D62DCF" w:rsidRPr="004378DF" w:rsidRDefault="00D62DCF" w:rsidP="00D62DCF">
                <w:pPr>
                  <w:rPr>
                    <w:color w:val="303030"/>
                    <w:szCs w:val="24"/>
                    <w:shd w:val="clear" w:color="auto" w:fill="FFFFFF"/>
                  </w:rPr>
                </w:pPr>
                <w:r w:rsidRPr="004378DF">
                  <w:rPr>
                    <w:szCs w:val="24"/>
                  </w:rPr>
                  <w:t xml:space="preserve">Nguyen, J., &amp; Duong, H. (2020, August 13). </w:t>
                </w:r>
                <w:r w:rsidRPr="004378DF">
                  <w:rPr>
                    <w:i/>
                    <w:iCs/>
                    <w:szCs w:val="24"/>
                  </w:rPr>
                  <w:t>Anatomy, Head and Neck, Alveolar Nerve</w:t>
                </w:r>
                <w:r w:rsidRPr="004378DF">
                  <w:rPr>
                    <w:szCs w:val="24"/>
                  </w:rPr>
                  <w:t xml:space="preserve">. </w:t>
                </w:r>
                <w:r>
                  <w:rPr>
                    <w:szCs w:val="24"/>
                  </w:rPr>
                  <w:tab/>
                </w:r>
                <w:r w:rsidRPr="004378DF">
                  <w:rPr>
                    <w:szCs w:val="24"/>
                  </w:rPr>
                  <w:t>Retrieved September 23, 2020, from National Center for Biotechnology Information.</w:t>
                </w:r>
              </w:p>
              <w:p w14:paraId="7F71CA59" w14:textId="4A17F8C3" w:rsidR="009E5F3C" w:rsidRDefault="009E5F3C" w:rsidP="00292BEF"/>
            </w:tc>
          </w:sdtContent>
        </w:sdt>
      </w:tr>
    </w:tbl>
    <w:p w14:paraId="2637E2C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090A" w14:textId="77777777" w:rsidR="00DA691E" w:rsidRDefault="00DA691E" w:rsidP="00292BEF">
      <w:r>
        <w:separator/>
      </w:r>
    </w:p>
  </w:endnote>
  <w:endnote w:type="continuationSeparator" w:id="0">
    <w:p w14:paraId="122E769A" w14:textId="77777777" w:rsidR="00DA691E" w:rsidRDefault="00DA691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F292" w14:textId="77777777" w:rsidR="00DA691E" w:rsidRDefault="00DA691E" w:rsidP="00292BEF">
      <w:r>
        <w:separator/>
      </w:r>
    </w:p>
  </w:footnote>
  <w:footnote w:type="continuationSeparator" w:id="0">
    <w:p w14:paraId="1CFE46FC" w14:textId="77777777" w:rsidR="00DA691E" w:rsidRDefault="00DA691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8131" w14:textId="77777777" w:rsidR="00292BEF" w:rsidRPr="00292BEF" w:rsidRDefault="00292BEF" w:rsidP="00292BEF">
    <w:pPr>
      <w:pStyle w:val="Header"/>
      <w:jc w:val="right"/>
      <w:rPr>
        <w:sz w:val="28"/>
      </w:rPr>
    </w:pPr>
    <w:r w:rsidRPr="00292BEF">
      <w:rPr>
        <w:sz w:val="28"/>
      </w:rPr>
      <w:t>MUSoD Rounds</w:t>
    </w:r>
  </w:p>
  <w:p w14:paraId="0B231E87" w14:textId="77777777" w:rsidR="00292BEF" w:rsidRDefault="00292BEF" w:rsidP="00292BEF">
    <w:pPr>
      <w:pStyle w:val="Header"/>
      <w:jc w:val="right"/>
      <w:rPr>
        <w:sz w:val="28"/>
      </w:rPr>
    </w:pPr>
    <w:r w:rsidRPr="00292BEF">
      <w:rPr>
        <w:sz w:val="28"/>
      </w:rPr>
      <w:t>D1 Basic Science</w:t>
    </w:r>
  </w:p>
  <w:p w14:paraId="5D56DFD5" w14:textId="77777777" w:rsidR="00292BEF" w:rsidRDefault="00292BEF" w:rsidP="00292BEF">
    <w:pPr>
      <w:pStyle w:val="Header"/>
      <w:jc w:val="right"/>
      <w:rPr>
        <w:sz w:val="28"/>
      </w:rPr>
    </w:pPr>
  </w:p>
  <w:p w14:paraId="68D5D07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527DAA"/>
    <w:rsid w:val="006B50F8"/>
    <w:rsid w:val="007B6610"/>
    <w:rsid w:val="009E5F3C"/>
    <w:rsid w:val="00B50056"/>
    <w:rsid w:val="00CA07DB"/>
    <w:rsid w:val="00CA1BEB"/>
    <w:rsid w:val="00D62DCF"/>
    <w:rsid w:val="00DA691E"/>
    <w:rsid w:val="00DE18BF"/>
    <w:rsid w:val="00DF1FAB"/>
    <w:rsid w:val="00E47A74"/>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B6E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886488"/>
    <w:rsid w:val="008B3D28"/>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Osterday, Tyler</cp:lastModifiedBy>
  <cp:revision>3</cp:revision>
  <dcterms:created xsi:type="dcterms:W3CDTF">2020-09-23T23:07:00Z</dcterms:created>
  <dcterms:modified xsi:type="dcterms:W3CDTF">2020-09-26T20:09:00Z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