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259EB"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6E4AF835" w14:textId="77777777" w:rsidTr="002E6FF2">
        <w:tc>
          <w:tcPr>
            <w:tcW w:w="8640" w:type="dxa"/>
          </w:tcPr>
          <w:p w14:paraId="36D04099"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06F624F2" w14:textId="77777777" w:rsidTr="002E6FF2">
        <w:sdt>
          <w:sdtPr>
            <w:rPr>
              <w:b/>
            </w:rPr>
            <w:id w:val="-1691829634"/>
            <w:placeholder>
              <w:docPart w:val="265D0461B31648B8AE71BBAA52322F9B"/>
            </w:placeholder>
          </w:sdtPr>
          <w:sdtEndPr/>
          <w:sdtContent>
            <w:tc>
              <w:tcPr>
                <w:tcW w:w="8640" w:type="dxa"/>
              </w:tcPr>
              <w:p w14:paraId="4D210629" w14:textId="47270528" w:rsidR="00692E4D" w:rsidRDefault="00F82E82" w:rsidP="002972EE">
                <w:pPr>
                  <w:ind w:left="0" w:firstLine="0"/>
                  <w:rPr>
                    <w:b/>
                  </w:rPr>
                </w:pPr>
                <w:r>
                  <w:rPr>
                    <w:b/>
                  </w:rPr>
                  <w:t>6 A-1</w:t>
                </w:r>
              </w:p>
            </w:tc>
          </w:sdtContent>
        </w:sdt>
      </w:tr>
      <w:tr w:rsidR="00692E4D" w14:paraId="4BCD73DB" w14:textId="77777777" w:rsidTr="002E6FF2">
        <w:tc>
          <w:tcPr>
            <w:tcW w:w="8640" w:type="dxa"/>
          </w:tcPr>
          <w:p w14:paraId="2BF4076C"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3F76F9CF" w14:textId="77777777" w:rsidTr="002E6FF2">
        <w:sdt>
          <w:sdtPr>
            <w:rPr>
              <w:b/>
            </w:rPr>
            <w:id w:val="-210194195"/>
            <w:placeholder>
              <w:docPart w:val="709D462CF2584603817D5F642DC05C21"/>
            </w:placeholder>
          </w:sdtPr>
          <w:sdtEndPr/>
          <w:sdtContent>
            <w:tc>
              <w:tcPr>
                <w:tcW w:w="8640" w:type="dxa"/>
              </w:tcPr>
              <w:p w14:paraId="23E26630" w14:textId="7CA3DD02" w:rsidR="00692E4D" w:rsidRDefault="00F82E82" w:rsidP="00692E4D">
                <w:pPr>
                  <w:ind w:left="0" w:firstLine="0"/>
                  <w:rPr>
                    <w:b/>
                  </w:rPr>
                </w:pPr>
                <w:r>
                  <w:rPr>
                    <w:b/>
                  </w:rPr>
                  <w:t xml:space="preserve">D4 – Evan </w:t>
                </w:r>
                <w:proofErr w:type="spellStart"/>
                <w:r>
                  <w:rPr>
                    <w:b/>
                  </w:rPr>
                  <w:t>Kopecky</w:t>
                </w:r>
                <w:proofErr w:type="spellEnd"/>
                <w:r>
                  <w:rPr>
                    <w:b/>
                  </w:rPr>
                  <w:t xml:space="preserve">, </w:t>
                </w:r>
                <w:r w:rsidR="00B84DF7">
                  <w:rPr>
                    <w:b/>
                  </w:rPr>
                  <w:t xml:space="preserve">D3 – Gabriella Pung, </w:t>
                </w:r>
                <w:r>
                  <w:rPr>
                    <w:b/>
                  </w:rPr>
                  <w:t xml:space="preserve">D2 – Joseph </w:t>
                </w:r>
                <w:proofErr w:type="spellStart"/>
                <w:r>
                  <w:rPr>
                    <w:b/>
                  </w:rPr>
                  <w:t>Lechelt</w:t>
                </w:r>
                <w:proofErr w:type="spellEnd"/>
                <w:r>
                  <w:rPr>
                    <w:b/>
                  </w:rPr>
                  <w:t xml:space="preserve">, D1 - </w:t>
                </w:r>
                <w:proofErr w:type="spellStart"/>
                <w:r>
                  <w:rPr>
                    <w:b/>
                  </w:rPr>
                  <w:t>Safia</w:t>
                </w:r>
                <w:proofErr w:type="spellEnd"/>
                <w:r>
                  <w:rPr>
                    <w:b/>
                  </w:rPr>
                  <w:t xml:space="preserve"> Vohra </w:t>
                </w:r>
              </w:p>
            </w:tc>
          </w:sdtContent>
        </w:sdt>
      </w:tr>
      <w:tr w:rsidR="00692E4D" w14:paraId="6B74168A" w14:textId="77777777" w:rsidTr="002E6FF2">
        <w:tc>
          <w:tcPr>
            <w:tcW w:w="8640" w:type="dxa"/>
          </w:tcPr>
          <w:p w14:paraId="525A40C8" w14:textId="77777777" w:rsidR="00692E4D" w:rsidRDefault="00692E4D" w:rsidP="00692E4D">
            <w:pPr>
              <w:ind w:left="0" w:firstLine="0"/>
              <w:rPr>
                <w:b/>
              </w:rPr>
            </w:pPr>
            <w:r w:rsidRPr="00974240">
              <w:rPr>
                <w:b/>
              </w:rPr>
              <w:t>Clinical Question:</w:t>
            </w:r>
          </w:p>
        </w:tc>
      </w:tr>
      <w:tr w:rsidR="00692E4D" w14:paraId="703A2BAF" w14:textId="77777777" w:rsidTr="002E6FF2">
        <w:sdt>
          <w:sdtPr>
            <w:rPr>
              <w:b/>
            </w:rPr>
            <w:id w:val="-1425953839"/>
            <w:placeholder>
              <w:docPart w:val="CB28A101A52146ED8ABC0548D1368A93"/>
            </w:placeholder>
          </w:sdtPr>
          <w:sdtEndPr/>
          <w:sdtContent>
            <w:tc>
              <w:tcPr>
                <w:tcW w:w="8640" w:type="dxa"/>
              </w:tcPr>
              <w:p w14:paraId="5F919CD3" w14:textId="773F525D" w:rsidR="00692E4D" w:rsidRDefault="00F82E82" w:rsidP="00692E4D">
                <w:pPr>
                  <w:ind w:left="0" w:firstLine="0"/>
                  <w:rPr>
                    <w:b/>
                  </w:rPr>
                </w:pPr>
                <w:r>
                  <w:rPr>
                    <w:b/>
                  </w:rPr>
                  <w:t>Is the PARL endo related and ab</w:t>
                </w:r>
                <w:r w:rsidR="007C41B5">
                  <w:rPr>
                    <w:b/>
                  </w:rPr>
                  <w:t>l</w:t>
                </w:r>
                <w:r>
                  <w:rPr>
                    <w:b/>
                  </w:rPr>
                  <w:t>e to be treated with RCT?</w:t>
                </w:r>
              </w:p>
            </w:tc>
          </w:sdtContent>
        </w:sdt>
      </w:tr>
      <w:tr w:rsidR="00692E4D" w14:paraId="6AD5EF74" w14:textId="77777777" w:rsidTr="002E6FF2">
        <w:tc>
          <w:tcPr>
            <w:tcW w:w="8640" w:type="dxa"/>
          </w:tcPr>
          <w:p w14:paraId="02AABB09" w14:textId="77777777" w:rsidR="00692E4D" w:rsidRDefault="00692E4D" w:rsidP="00692E4D">
            <w:pPr>
              <w:ind w:left="0" w:firstLine="0"/>
              <w:rPr>
                <w:b/>
              </w:rPr>
            </w:pPr>
            <w:r w:rsidRPr="00974240">
              <w:rPr>
                <w:b/>
              </w:rPr>
              <w:t>PICO Format:</w:t>
            </w:r>
          </w:p>
        </w:tc>
      </w:tr>
      <w:tr w:rsidR="00692E4D" w14:paraId="1C1879DA" w14:textId="77777777" w:rsidTr="002E6FF2">
        <w:tc>
          <w:tcPr>
            <w:tcW w:w="8640" w:type="dxa"/>
          </w:tcPr>
          <w:p w14:paraId="2C503546" w14:textId="77777777" w:rsidR="00692E4D" w:rsidRDefault="00692E4D" w:rsidP="00692E4D">
            <w:pPr>
              <w:ind w:left="0" w:firstLine="0"/>
              <w:rPr>
                <w:b/>
              </w:rPr>
            </w:pPr>
            <w:r>
              <w:rPr>
                <w:b/>
              </w:rPr>
              <w:t>P:</w:t>
            </w:r>
          </w:p>
        </w:tc>
      </w:tr>
      <w:tr w:rsidR="00692E4D" w14:paraId="1E5E1C71" w14:textId="77777777" w:rsidTr="002E6FF2">
        <w:sdt>
          <w:sdtPr>
            <w:rPr>
              <w:b/>
            </w:rPr>
            <w:id w:val="514967572"/>
            <w:placeholder>
              <w:docPart w:val="0B496F479641478AA9C18C45B5269562"/>
            </w:placeholder>
          </w:sdtPr>
          <w:sdtEndPr/>
          <w:sdtContent>
            <w:tc>
              <w:tcPr>
                <w:tcW w:w="8640" w:type="dxa"/>
              </w:tcPr>
              <w:p w14:paraId="7207553E" w14:textId="1033F3AD" w:rsidR="00692E4D" w:rsidRDefault="00BA7121" w:rsidP="00692E4D">
                <w:pPr>
                  <w:ind w:left="0" w:firstLine="0"/>
                  <w:rPr>
                    <w:b/>
                  </w:rPr>
                </w:pPr>
                <w:r>
                  <w:rPr>
                    <w:b/>
                  </w:rPr>
                  <w:t xml:space="preserve">Patients with </w:t>
                </w:r>
                <w:r w:rsidR="00E80A46">
                  <w:rPr>
                    <w:b/>
                  </w:rPr>
                  <w:t xml:space="preserve">periapical </w:t>
                </w:r>
                <w:proofErr w:type="spellStart"/>
                <w:r w:rsidR="00E80A46">
                  <w:rPr>
                    <w:b/>
                  </w:rPr>
                  <w:t>radiolucencies</w:t>
                </w:r>
                <w:proofErr w:type="spellEnd"/>
                <w:r w:rsidR="00E80A46">
                  <w:rPr>
                    <w:b/>
                  </w:rPr>
                  <w:t xml:space="preserve"> </w:t>
                </w:r>
              </w:p>
            </w:tc>
          </w:sdtContent>
        </w:sdt>
      </w:tr>
      <w:tr w:rsidR="00692E4D" w14:paraId="15B9B217" w14:textId="77777777" w:rsidTr="002E6FF2">
        <w:tc>
          <w:tcPr>
            <w:tcW w:w="8640" w:type="dxa"/>
          </w:tcPr>
          <w:p w14:paraId="1B75EAB4" w14:textId="77777777" w:rsidR="00692E4D" w:rsidRDefault="00692E4D" w:rsidP="00692E4D">
            <w:pPr>
              <w:ind w:left="0" w:firstLine="0"/>
              <w:rPr>
                <w:b/>
              </w:rPr>
            </w:pPr>
            <w:r>
              <w:rPr>
                <w:b/>
              </w:rPr>
              <w:t>I:</w:t>
            </w:r>
          </w:p>
        </w:tc>
      </w:tr>
      <w:tr w:rsidR="00692E4D" w14:paraId="4E2E887A" w14:textId="77777777" w:rsidTr="002E6FF2">
        <w:sdt>
          <w:sdtPr>
            <w:rPr>
              <w:b/>
            </w:rPr>
            <w:id w:val="-2083594704"/>
            <w:placeholder>
              <w:docPart w:val="420E726688A04571878AAF0AAEBEC280"/>
            </w:placeholder>
          </w:sdtPr>
          <w:sdtEndPr/>
          <w:sdtContent>
            <w:tc>
              <w:tcPr>
                <w:tcW w:w="8640" w:type="dxa"/>
              </w:tcPr>
              <w:p w14:paraId="0FF1E6C3" w14:textId="1A9971CB" w:rsidR="00692E4D" w:rsidRDefault="007C41B5" w:rsidP="00692E4D">
                <w:pPr>
                  <w:ind w:left="0" w:firstLine="0"/>
                  <w:rPr>
                    <w:b/>
                  </w:rPr>
                </w:pPr>
                <w:r>
                  <w:rPr>
                    <w:b/>
                  </w:rPr>
                  <w:t xml:space="preserve">Root canal </w:t>
                </w:r>
                <w:proofErr w:type="spellStart"/>
                <w:r>
                  <w:rPr>
                    <w:b/>
                  </w:rPr>
                  <w:t>thearpy</w:t>
                </w:r>
                <w:proofErr w:type="spellEnd"/>
                <w:r>
                  <w:rPr>
                    <w:b/>
                  </w:rPr>
                  <w:t xml:space="preserve"> </w:t>
                </w:r>
              </w:p>
            </w:tc>
          </w:sdtContent>
        </w:sdt>
      </w:tr>
      <w:tr w:rsidR="00692E4D" w14:paraId="4A0B90CE" w14:textId="77777777" w:rsidTr="002E6FF2">
        <w:tc>
          <w:tcPr>
            <w:tcW w:w="8640" w:type="dxa"/>
          </w:tcPr>
          <w:p w14:paraId="6A368EA7" w14:textId="77777777" w:rsidR="00692E4D" w:rsidRDefault="00692E4D" w:rsidP="00692E4D">
            <w:pPr>
              <w:ind w:left="0" w:firstLine="0"/>
              <w:rPr>
                <w:b/>
              </w:rPr>
            </w:pPr>
            <w:r>
              <w:rPr>
                <w:b/>
              </w:rPr>
              <w:t>C:</w:t>
            </w:r>
          </w:p>
        </w:tc>
      </w:tr>
      <w:tr w:rsidR="00692E4D" w14:paraId="16DBC292" w14:textId="77777777" w:rsidTr="002E6FF2">
        <w:sdt>
          <w:sdtPr>
            <w:rPr>
              <w:b/>
            </w:rPr>
            <w:id w:val="2101905041"/>
            <w:placeholder>
              <w:docPart w:val="A4680AC4DEF54CC7849DE12213A3FF7E"/>
            </w:placeholder>
          </w:sdtPr>
          <w:sdtEndPr/>
          <w:sdtContent>
            <w:tc>
              <w:tcPr>
                <w:tcW w:w="8640" w:type="dxa"/>
              </w:tcPr>
              <w:p w14:paraId="38BF1D81" w14:textId="782F0A76" w:rsidR="00692E4D" w:rsidRDefault="007C41B5" w:rsidP="00692E4D">
                <w:pPr>
                  <w:ind w:left="0" w:firstLine="0"/>
                  <w:rPr>
                    <w:b/>
                  </w:rPr>
                </w:pPr>
                <w:r>
                  <w:rPr>
                    <w:b/>
                  </w:rPr>
                  <w:t xml:space="preserve">Alternative therapy </w:t>
                </w:r>
              </w:p>
            </w:tc>
          </w:sdtContent>
        </w:sdt>
      </w:tr>
      <w:tr w:rsidR="00692E4D" w14:paraId="0825A75A" w14:textId="77777777" w:rsidTr="002E6FF2">
        <w:tc>
          <w:tcPr>
            <w:tcW w:w="8640" w:type="dxa"/>
          </w:tcPr>
          <w:p w14:paraId="07C41350" w14:textId="77777777" w:rsidR="00692E4D" w:rsidRDefault="00692E4D" w:rsidP="00692E4D">
            <w:pPr>
              <w:ind w:left="0" w:firstLine="0"/>
              <w:rPr>
                <w:b/>
              </w:rPr>
            </w:pPr>
            <w:r>
              <w:rPr>
                <w:b/>
              </w:rPr>
              <w:t>O:</w:t>
            </w:r>
          </w:p>
        </w:tc>
      </w:tr>
      <w:tr w:rsidR="00692E4D" w14:paraId="2238B128" w14:textId="77777777" w:rsidTr="002E6FF2">
        <w:sdt>
          <w:sdtPr>
            <w:rPr>
              <w:b/>
            </w:rPr>
            <w:id w:val="1006642820"/>
            <w:placeholder>
              <w:docPart w:val="491FF049B12E4104A025C1A006DFA7B9"/>
            </w:placeholder>
          </w:sdtPr>
          <w:sdtEndPr/>
          <w:sdtContent>
            <w:tc>
              <w:tcPr>
                <w:tcW w:w="8640" w:type="dxa"/>
              </w:tcPr>
              <w:p w14:paraId="2791DF85" w14:textId="5ABE8032" w:rsidR="00692E4D" w:rsidRDefault="007C41B5" w:rsidP="00692E4D">
                <w:pPr>
                  <w:ind w:left="0" w:firstLine="0"/>
                  <w:rPr>
                    <w:b/>
                  </w:rPr>
                </w:pPr>
                <w:r>
                  <w:rPr>
                    <w:b/>
                  </w:rPr>
                  <w:t>Ridding tooth of infection</w:t>
                </w:r>
              </w:p>
            </w:tc>
          </w:sdtContent>
        </w:sdt>
      </w:tr>
      <w:tr w:rsidR="00692E4D" w14:paraId="03CF0F39" w14:textId="77777777" w:rsidTr="002E6FF2">
        <w:tc>
          <w:tcPr>
            <w:tcW w:w="8640" w:type="dxa"/>
          </w:tcPr>
          <w:p w14:paraId="73F11C14" w14:textId="77777777" w:rsidR="00692E4D" w:rsidRDefault="00692E4D" w:rsidP="00692E4D">
            <w:pPr>
              <w:ind w:left="0" w:firstLine="0"/>
              <w:rPr>
                <w:b/>
              </w:rPr>
            </w:pPr>
            <w:r w:rsidRPr="00974240">
              <w:rPr>
                <w:b/>
              </w:rPr>
              <w:t>PICO Formatted Question:</w:t>
            </w:r>
          </w:p>
        </w:tc>
      </w:tr>
      <w:tr w:rsidR="00692E4D" w14:paraId="2771150E" w14:textId="77777777" w:rsidTr="002E6FF2">
        <w:sdt>
          <w:sdtPr>
            <w:rPr>
              <w:b/>
            </w:rPr>
            <w:id w:val="298496509"/>
            <w:placeholder>
              <w:docPart w:val="58AC952842CD48FCA1D1B8F39F5BBACF"/>
            </w:placeholder>
          </w:sdtPr>
          <w:sdtEndPr/>
          <w:sdtContent>
            <w:tc>
              <w:tcPr>
                <w:tcW w:w="8640" w:type="dxa"/>
              </w:tcPr>
              <w:p w14:paraId="3987BD2C" w14:textId="2627DB5A" w:rsidR="00692E4D" w:rsidRDefault="00014ED6" w:rsidP="00692E4D">
                <w:pPr>
                  <w:ind w:left="0" w:firstLine="0"/>
                  <w:rPr>
                    <w:b/>
                  </w:rPr>
                </w:pPr>
                <w:r>
                  <w:rPr>
                    <w:b/>
                  </w:rPr>
                  <w:t>In patients with PARL</w:t>
                </w:r>
                <w:r w:rsidR="00E80A46">
                  <w:rPr>
                    <w:b/>
                  </w:rPr>
                  <w:t>s</w:t>
                </w:r>
                <w:r>
                  <w:rPr>
                    <w:b/>
                  </w:rPr>
                  <w:t xml:space="preserve"> which of the differential diagnosis are able to be resolved by RCT and which may need other forms of treatment?</w:t>
                </w:r>
              </w:p>
            </w:tc>
          </w:sdtContent>
        </w:sdt>
      </w:tr>
      <w:tr w:rsidR="00692E4D" w14:paraId="45AF89F6" w14:textId="77777777" w:rsidTr="002E6FF2">
        <w:tc>
          <w:tcPr>
            <w:tcW w:w="8640" w:type="dxa"/>
          </w:tcPr>
          <w:p w14:paraId="38418C48" w14:textId="77777777" w:rsidR="00692E4D" w:rsidRDefault="00692E4D" w:rsidP="00692E4D">
            <w:pPr>
              <w:ind w:left="0" w:firstLine="0"/>
              <w:rPr>
                <w:b/>
              </w:rPr>
            </w:pPr>
            <w:r>
              <w:rPr>
                <w:b/>
              </w:rPr>
              <w:t>Clinical Bottom Line:</w:t>
            </w:r>
          </w:p>
        </w:tc>
      </w:tr>
      <w:tr w:rsidR="00692E4D" w14:paraId="62F5528C" w14:textId="77777777" w:rsidTr="002E6FF2">
        <w:sdt>
          <w:sdtPr>
            <w:rPr>
              <w:b/>
            </w:rPr>
            <w:id w:val="-510995683"/>
            <w:placeholder>
              <w:docPart w:val="12269E3C445F4AFF9F69E274B92646A1"/>
            </w:placeholder>
          </w:sdtPr>
          <w:sdtEndPr/>
          <w:sdtContent>
            <w:tc>
              <w:tcPr>
                <w:tcW w:w="8640" w:type="dxa"/>
              </w:tcPr>
              <w:p w14:paraId="7A4C7A1B" w14:textId="65B01B73" w:rsidR="00692E4D" w:rsidRDefault="008C1AA0" w:rsidP="00692E4D">
                <w:pPr>
                  <w:ind w:left="0" w:firstLine="0"/>
                  <w:rPr>
                    <w:b/>
                  </w:rPr>
                </w:pPr>
                <w:r>
                  <w:rPr>
                    <w:b/>
                  </w:rPr>
                  <w:t>Treatment of th</w:t>
                </w:r>
                <w:r w:rsidR="00D51FC8">
                  <w:rPr>
                    <w:b/>
                  </w:rPr>
                  <w:t>is</w:t>
                </w:r>
                <w:r>
                  <w:rPr>
                    <w:b/>
                  </w:rPr>
                  <w:t xml:space="preserve"> patient</w:t>
                </w:r>
                <w:r w:rsidR="00D51FC8">
                  <w:rPr>
                    <w:b/>
                  </w:rPr>
                  <w:t>’</w:t>
                </w:r>
                <w:r>
                  <w:rPr>
                    <w:b/>
                  </w:rPr>
                  <w:t>s periapical radiolucency via root canal therapy will r</w:t>
                </w:r>
                <w:r w:rsidR="00D51FC8">
                  <w:rPr>
                    <w:b/>
                  </w:rPr>
                  <w:t xml:space="preserve">id the tooth of infection. </w:t>
                </w:r>
                <w:r>
                  <w:rPr>
                    <w:b/>
                  </w:rPr>
                  <w:t xml:space="preserve"> </w:t>
                </w:r>
              </w:p>
            </w:tc>
          </w:sdtContent>
        </w:sdt>
      </w:tr>
      <w:tr w:rsidR="00692E4D" w14:paraId="7A110AB2" w14:textId="77777777" w:rsidTr="002E6FF2">
        <w:tc>
          <w:tcPr>
            <w:tcW w:w="8640" w:type="dxa"/>
          </w:tcPr>
          <w:p w14:paraId="786C9EB2" w14:textId="77777777" w:rsidR="00692E4D" w:rsidRDefault="00692E4D" w:rsidP="00692E4D">
            <w:pPr>
              <w:ind w:left="0" w:firstLine="0"/>
              <w:rPr>
                <w:b/>
              </w:rPr>
            </w:pPr>
            <w:r>
              <w:rPr>
                <w:b/>
              </w:rPr>
              <w:t xml:space="preserve">Date(s) of Search:  </w:t>
            </w:r>
          </w:p>
        </w:tc>
      </w:tr>
      <w:tr w:rsidR="00692E4D" w14:paraId="3DD6ECEA" w14:textId="77777777" w:rsidTr="002E6FF2">
        <w:sdt>
          <w:sdtPr>
            <w:rPr>
              <w:b/>
            </w:rPr>
            <w:id w:val="-342713550"/>
            <w:placeholder>
              <w:docPart w:val="466C71B47DF74921A6B47A58D402D919"/>
            </w:placeholder>
          </w:sdtPr>
          <w:sdtEndPr/>
          <w:sdtContent>
            <w:tc>
              <w:tcPr>
                <w:tcW w:w="8640" w:type="dxa"/>
              </w:tcPr>
              <w:p w14:paraId="2E905B5B" w14:textId="77777777" w:rsidR="00A366FF" w:rsidRDefault="005C61AF" w:rsidP="00692E4D">
                <w:pPr>
                  <w:ind w:left="0" w:firstLine="0"/>
                  <w:rPr>
                    <w:b/>
                  </w:rPr>
                </w:pPr>
                <w:r>
                  <w:rPr>
                    <w:b/>
                  </w:rPr>
                  <w:t>09/22/2020</w:t>
                </w:r>
                <w:r w:rsidR="00A366FF">
                  <w:rPr>
                    <w:b/>
                  </w:rPr>
                  <w:t xml:space="preserve"> </w:t>
                </w:r>
              </w:p>
              <w:p w14:paraId="7AD44E90" w14:textId="3C13108D" w:rsidR="00692E4D" w:rsidRDefault="00A366FF" w:rsidP="00692E4D">
                <w:pPr>
                  <w:ind w:left="0" w:firstLine="0"/>
                  <w:rPr>
                    <w:b/>
                  </w:rPr>
                </w:pPr>
                <w:r>
                  <w:rPr>
                    <w:b/>
                  </w:rPr>
                  <w:t>09/28/2020</w:t>
                </w:r>
              </w:p>
            </w:tc>
          </w:sdtContent>
        </w:sdt>
      </w:tr>
      <w:tr w:rsidR="00692E4D" w14:paraId="64023EE2" w14:textId="77777777" w:rsidTr="002E6FF2">
        <w:tc>
          <w:tcPr>
            <w:tcW w:w="8640" w:type="dxa"/>
          </w:tcPr>
          <w:p w14:paraId="794B978F" w14:textId="77777777" w:rsidR="00692E4D" w:rsidRDefault="00692E4D" w:rsidP="00692E4D">
            <w:pPr>
              <w:ind w:left="0" w:firstLine="0"/>
              <w:rPr>
                <w:b/>
              </w:rPr>
            </w:pPr>
            <w:r w:rsidRPr="00974240">
              <w:rPr>
                <w:b/>
              </w:rPr>
              <w:t>Database(s) Used:</w:t>
            </w:r>
          </w:p>
        </w:tc>
      </w:tr>
      <w:tr w:rsidR="00692E4D" w14:paraId="5F11DC37" w14:textId="77777777" w:rsidTr="002E6FF2">
        <w:sdt>
          <w:sdtPr>
            <w:rPr>
              <w:b/>
            </w:rPr>
            <w:id w:val="-715277583"/>
            <w:placeholder>
              <w:docPart w:val="6AB78782A9C14C6FA3D51C027BBFB25B"/>
            </w:placeholder>
          </w:sdtPr>
          <w:sdtEndPr/>
          <w:sdtContent>
            <w:tc>
              <w:tcPr>
                <w:tcW w:w="8640" w:type="dxa"/>
              </w:tcPr>
              <w:p w14:paraId="453360B5" w14:textId="13353525" w:rsidR="00692E4D" w:rsidRPr="00974240" w:rsidRDefault="005C61AF" w:rsidP="00692E4D">
                <w:pPr>
                  <w:ind w:left="0" w:firstLine="0"/>
                  <w:rPr>
                    <w:b/>
                  </w:rPr>
                </w:pPr>
                <w:r>
                  <w:rPr>
                    <w:b/>
                  </w:rPr>
                  <w:t>PubMed</w:t>
                </w:r>
                <w:r w:rsidR="006B19FE">
                  <w:rPr>
                    <w:b/>
                  </w:rPr>
                  <w:t xml:space="preserve"> and NCBI</w:t>
                </w:r>
              </w:p>
            </w:tc>
          </w:sdtContent>
        </w:sdt>
      </w:tr>
      <w:tr w:rsidR="00692E4D" w14:paraId="0C861765" w14:textId="77777777" w:rsidTr="002E6FF2">
        <w:tc>
          <w:tcPr>
            <w:tcW w:w="8640" w:type="dxa"/>
          </w:tcPr>
          <w:p w14:paraId="4B3A095D" w14:textId="77777777" w:rsidR="00692E4D" w:rsidRPr="00974240" w:rsidRDefault="00692E4D" w:rsidP="00692E4D">
            <w:pPr>
              <w:ind w:left="0" w:firstLine="0"/>
              <w:rPr>
                <w:b/>
              </w:rPr>
            </w:pPr>
            <w:r w:rsidRPr="00974240">
              <w:rPr>
                <w:b/>
              </w:rPr>
              <w:t>Search Strategy/Keywords:</w:t>
            </w:r>
          </w:p>
        </w:tc>
      </w:tr>
      <w:tr w:rsidR="00692E4D" w14:paraId="13708DB6" w14:textId="77777777" w:rsidTr="002E6FF2">
        <w:sdt>
          <w:sdtPr>
            <w:rPr>
              <w:b/>
            </w:rPr>
            <w:id w:val="-231853169"/>
            <w:placeholder>
              <w:docPart w:val="1A95CA3E8ED24FABAB9FCF2456258FBC"/>
            </w:placeholder>
          </w:sdtPr>
          <w:sdtEndPr/>
          <w:sdtContent>
            <w:tc>
              <w:tcPr>
                <w:tcW w:w="8640" w:type="dxa"/>
              </w:tcPr>
              <w:p w14:paraId="0F3C32AB" w14:textId="3AE31140" w:rsidR="00692E4D" w:rsidRPr="00974240" w:rsidRDefault="00E56B38" w:rsidP="00692E4D">
                <w:pPr>
                  <w:ind w:left="0" w:firstLine="0"/>
                  <w:rPr>
                    <w:b/>
                  </w:rPr>
                </w:pPr>
                <w:r>
                  <w:rPr>
                    <w:b/>
                  </w:rPr>
                  <w:t xml:space="preserve">Periapical Radiolucencies, </w:t>
                </w:r>
                <w:r w:rsidR="00B87866">
                  <w:rPr>
                    <w:b/>
                  </w:rPr>
                  <w:t xml:space="preserve">non-surgical, </w:t>
                </w:r>
                <w:r w:rsidR="004B6DF9">
                  <w:rPr>
                    <w:b/>
                  </w:rPr>
                  <w:t xml:space="preserve">surgical, </w:t>
                </w:r>
                <w:r w:rsidR="00D51FC8">
                  <w:rPr>
                    <w:b/>
                  </w:rPr>
                  <w:t xml:space="preserve">treatment, </w:t>
                </w:r>
                <w:r w:rsidR="00F46D38">
                  <w:rPr>
                    <w:b/>
                  </w:rPr>
                  <w:t xml:space="preserve">central giant cell granuloma </w:t>
                </w:r>
              </w:p>
            </w:tc>
          </w:sdtContent>
        </w:sdt>
      </w:tr>
      <w:tr w:rsidR="00692E4D" w14:paraId="752B0D7E" w14:textId="77777777" w:rsidTr="002E6FF2">
        <w:tc>
          <w:tcPr>
            <w:tcW w:w="8640" w:type="dxa"/>
          </w:tcPr>
          <w:p w14:paraId="5FF92C72" w14:textId="77777777" w:rsidR="00692E4D" w:rsidRPr="00974240" w:rsidRDefault="00692E4D" w:rsidP="00692E4D">
            <w:pPr>
              <w:ind w:left="0" w:firstLine="0"/>
              <w:rPr>
                <w:b/>
              </w:rPr>
            </w:pPr>
            <w:r>
              <w:rPr>
                <w:b/>
              </w:rPr>
              <w:t>MESH terms used:</w:t>
            </w:r>
          </w:p>
        </w:tc>
      </w:tr>
      <w:tr w:rsidR="00692E4D" w14:paraId="2A684805" w14:textId="77777777" w:rsidTr="002E6FF2">
        <w:sdt>
          <w:sdtPr>
            <w:rPr>
              <w:b/>
            </w:rPr>
            <w:id w:val="1890758709"/>
            <w:placeholder>
              <w:docPart w:val="7E910305951F4A7C93AA7626015B1AED"/>
            </w:placeholder>
          </w:sdtPr>
          <w:sdtEndPr/>
          <w:sdtContent>
            <w:tc>
              <w:tcPr>
                <w:tcW w:w="8640" w:type="dxa"/>
              </w:tcPr>
              <w:p w14:paraId="69A2AB3E" w14:textId="2AFDAAB7" w:rsidR="00E56B38" w:rsidRDefault="00E56B38" w:rsidP="00692E4D">
                <w:pPr>
                  <w:ind w:left="0" w:firstLine="0"/>
                  <w:rPr>
                    <w:b/>
                  </w:rPr>
                </w:pPr>
                <w:r>
                  <w:rPr>
                    <w:b/>
                  </w:rPr>
                  <w:t xml:space="preserve">Periapical radiolucency </w:t>
                </w:r>
              </w:p>
              <w:p w14:paraId="608AF0F1" w14:textId="44C591EA" w:rsidR="00B87866" w:rsidRDefault="00B87866" w:rsidP="00692E4D">
                <w:pPr>
                  <w:ind w:left="0" w:firstLine="0"/>
                  <w:rPr>
                    <w:b/>
                  </w:rPr>
                </w:pPr>
                <w:r>
                  <w:rPr>
                    <w:b/>
                  </w:rPr>
                  <w:t>Non-surgical</w:t>
                </w:r>
              </w:p>
              <w:p w14:paraId="6A7BA7BB" w14:textId="4F215F37" w:rsidR="004B6DF9" w:rsidRDefault="004B6DF9" w:rsidP="00692E4D">
                <w:pPr>
                  <w:ind w:left="0" w:firstLine="0"/>
                  <w:rPr>
                    <w:b/>
                  </w:rPr>
                </w:pPr>
                <w:r>
                  <w:rPr>
                    <w:b/>
                  </w:rPr>
                  <w:t xml:space="preserve">Surgical </w:t>
                </w:r>
              </w:p>
              <w:p w14:paraId="64439C0F" w14:textId="77777777" w:rsidR="00E56B38" w:rsidRDefault="00E56B38" w:rsidP="00692E4D">
                <w:pPr>
                  <w:ind w:left="0" w:firstLine="0"/>
                  <w:rPr>
                    <w:b/>
                  </w:rPr>
                </w:pPr>
                <w:r>
                  <w:rPr>
                    <w:b/>
                  </w:rPr>
                  <w:t xml:space="preserve">Treatment </w:t>
                </w:r>
              </w:p>
              <w:p w14:paraId="3892F222" w14:textId="77777777" w:rsidR="006E104A" w:rsidRDefault="00F46D38" w:rsidP="00692E4D">
                <w:pPr>
                  <w:ind w:left="0" w:firstLine="0"/>
                  <w:rPr>
                    <w:b/>
                  </w:rPr>
                </w:pPr>
                <w:r>
                  <w:rPr>
                    <w:b/>
                  </w:rPr>
                  <w:t xml:space="preserve">Central giant cell granuloma </w:t>
                </w:r>
              </w:p>
              <w:p w14:paraId="0F86A160" w14:textId="77777777" w:rsidR="006E104A" w:rsidRDefault="006E104A" w:rsidP="00692E4D">
                <w:pPr>
                  <w:ind w:left="0" w:firstLine="0"/>
                  <w:rPr>
                    <w:b/>
                  </w:rPr>
                </w:pPr>
              </w:p>
              <w:p w14:paraId="2D0EBDA5" w14:textId="77777777" w:rsidR="006E104A" w:rsidRDefault="006E104A" w:rsidP="00692E4D">
                <w:pPr>
                  <w:ind w:left="0" w:firstLine="0"/>
                  <w:rPr>
                    <w:b/>
                  </w:rPr>
                </w:pPr>
              </w:p>
              <w:p w14:paraId="0FB19330" w14:textId="3AE98E8E" w:rsidR="00692E4D" w:rsidRPr="00974240" w:rsidRDefault="00692E4D" w:rsidP="00692E4D">
                <w:pPr>
                  <w:ind w:left="0" w:firstLine="0"/>
                  <w:rPr>
                    <w:b/>
                  </w:rPr>
                </w:pPr>
              </w:p>
            </w:tc>
          </w:sdtContent>
        </w:sdt>
      </w:tr>
      <w:tr w:rsidR="00692E4D" w14:paraId="710C6749" w14:textId="77777777" w:rsidTr="002E6FF2">
        <w:tc>
          <w:tcPr>
            <w:tcW w:w="8640" w:type="dxa"/>
          </w:tcPr>
          <w:p w14:paraId="7D9FA867" w14:textId="77777777" w:rsidR="00692E4D" w:rsidRPr="00974240" w:rsidRDefault="00692E4D" w:rsidP="00692E4D">
            <w:pPr>
              <w:ind w:left="0" w:firstLine="0"/>
              <w:rPr>
                <w:b/>
              </w:rPr>
            </w:pPr>
            <w:r w:rsidRPr="00974240">
              <w:rPr>
                <w:b/>
              </w:rPr>
              <w:lastRenderedPageBreak/>
              <w:t>Article(s) Cited:</w:t>
            </w:r>
          </w:p>
        </w:tc>
      </w:tr>
      <w:tr w:rsidR="00692E4D" w14:paraId="3F9C8F7F" w14:textId="77777777" w:rsidTr="002E6FF2">
        <w:sdt>
          <w:sdtPr>
            <w:rPr>
              <w:b/>
            </w:rPr>
            <w:id w:val="-938752678"/>
            <w:placeholder>
              <w:docPart w:val="E8F2534F808F4ECBB4F5D259E7F4B4F2"/>
            </w:placeholder>
          </w:sdtPr>
          <w:sdtEndPr/>
          <w:sdtContent>
            <w:tc>
              <w:tcPr>
                <w:tcW w:w="8640" w:type="dxa"/>
              </w:tcPr>
              <w:p w14:paraId="1763A98B" w14:textId="77777777" w:rsidR="008354F2" w:rsidRDefault="008354F2" w:rsidP="008354F2">
                <w:pPr>
                  <w:spacing w:line="240" w:lineRule="auto"/>
                  <w:ind w:left="0" w:firstLine="0"/>
                  <w:rPr>
                    <w:rFonts w:ascii="Times New Roman" w:eastAsia="Times New Roman" w:hAnsi="Times New Roman"/>
                    <w:sz w:val="24"/>
                    <w:szCs w:val="24"/>
                  </w:rPr>
                </w:pPr>
                <w:proofErr w:type="spellStart"/>
                <w:r>
                  <w:rPr>
                    <w:rFonts w:ascii="Segoe UI" w:hAnsi="Segoe UI" w:cs="Segoe UI"/>
                    <w:color w:val="212121"/>
                    <w:shd w:val="clear" w:color="auto" w:fill="FFFFFF"/>
                  </w:rPr>
                  <w:t>Calişkan</w:t>
                </w:r>
                <w:proofErr w:type="spellEnd"/>
                <w:r>
                  <w:rPr>
                    <w:rFonts w:ascii="Segoe UI" w:hAnsi="Segoe UI" w:cs="Segoe UI"/>
                    <w:color w:val="212121"/>
                    <w:shd w:val="clear" w:color="auto" w:fill="FFFFFF"/>
                  </w:rPr>
                  <w:t xml:space="preserve"> MK. Prognosis of large cyst-like periapical lesions following nonsurgical root canal treatment: a clinical review. Int </w:t>
                </w:r>
                <w:proofErr w:type="spellStart"/>
                <w:r>
                  <w:rPr>
                    <w:rFonts w:ascii="Segoe UI" w:hAnsi="Segoe UI" w:cs="Segoe UI"/>
                    <w:color w:val="212121"/>
                    <w:shd w:val="clear" w:color="auto" w:fill="FFFFFF"/>
                  </w:rPr>
                  <w:t>Endod</w:t>
                </w:r>
                <w:proofErr w:type="spellEnd"/>
                <w:r>
                  <w:rPr>
                    <w:rFonts w:ascii="Segoe UI" w:hAnsi="Segoe UI" w:cs="Segoe UI"/>
                    <w:color w:val="212121"/>
                    <w:shd w:val="clear" w:color="auto" w:fill="FFFFFF"/>
                  </w:rPr>
                  <w:t xml:space="preserve"> J. 2004 Jun;37(6):408-16.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10.1111/j.1365-2591.2004.00809.x. PMID: 15186249.</w:t>
                </w:r>
              </w:p>
              <w:p w14:paraId="76D42792" w14:textId="656BEACD" w:rsidR="008354F2" w:rsidRDefault="008354F2" w:rsidP="006E104A">
                <w:pPr>
                  <w:spacing w:line="240" w:lineRule="auto"/>
                  <w:ind w:left="0" w:firstLine="0"/>
                  <w:rPr>
                    <w:b/>
                  </w:rPr>
                </w:pPr>
              </w:p>
              <w:p w14:paraId="1EB7C1B6" w14:textId="395B18D3" w:rsidR="006E104A" w:rsidRPr="006E104A" w:rsidRDefault="006E104A" w:rsidP="006E104A">
                <w:pPr>
                  <w:spacing w:line="240" w:lineRule="auto"/>
                  <w:ind w:left="0" w:firstLine="0"/>
                  <w:rPr>
                    <w:b/>
                  </w:rPr>
                </w:pPr>
                <w:r>
                  <w:rPr>
                    <w:rFonts w:ascii="Georgia" w:hAnsi="Georgia"/>
                    <w:color w:val="323232"/>
                  </w:rPr>
                  <w:t>W.H. Schreuder, H. van den Berg, A.M. Westermann, </w:t>
                </w:r>
                <w:r>
                  <w:rPr>
                    <w:rStyle w:val="Emphasis"/>
                    <w:rFonts w:ascii="Georgia" w:hAnsi="Georgia"/>
                    <w:color w:val="323232"/>
                  </w:rPr>
                  <w:t xml:space="preserve">et </w:t>
                </w:r>
                <w:proofErr w:type="spellStart"/>
                <w:r>
                  <w:rPr>
                    <w:rStyle w:val="Emphasis"/>
                    <w:rFonts w:ascii="Georgia" w:hAnsi="Georgia"/>
                    <w:color w:val="323232"/>
                  </w:rPr>
                  <w:t>al.</w:t>
                </w:r>
                <w:r>
                  <w:rPr>
                    <w:rStyle w:val="Strong"/>
                    <w:rFonts w:ascii="Georgia" w:hAnsi="Georgia"/>
                    <w:color w:val="323232"/>
                  </w:rPr>
                  <w:t>Pharmacological</w:t>
                </w:r>
                <w:proofErr w:type="spellEnd"/>
                <w:r>
                  <w:rPr>
                    <w:rStyle w:val="Strong"/>
                    <w:rFonts w:ascii="Georgia" w:hAnsi="Georgia"/>
                    <w:color w:val="323232"/>
                  </w:rPr>
                  <w:t xml:space="preserve"> and surgical therapy for the central giant cell granuloma: A long-term retrospective cohort study</w:t>
                </w:r>
              </w:p>
              <w:p w14:paraId="7C721A8A" w14:textId="3D1A69D6" w:rsidR="00BC7B15" w:rsidRPr="008354F2" w:rsidRDefault="006E104A" w:rsidP="008354F2">
                <w:pPr>
                  <w:ind w:left="0" w:firstLine="0"/>
                  <w:rPr>
                    <w:rFonts w:ascii="Georgia" w:hAnsi="Georgia"/>
                    <w:color w:val="323232"/>
                  </w:rPr>
                </w:pPr>
                <w:r>
                  <w:rPr>
                    <w:rFonts w:ascii="Georgia" w:hAnsi="Georgia"/>
                    <w:color w:val="323232"/>
                  </w:rPr>
                  <w:t xml:space="preserve">J </w:t>
                </w:r>
                <w:proofErr w:type="spellStart"/>
                <w:r>
                  <w:rPr>
                    <w:rFonts w:ascii="Georgia" w:hAnsi="Georgia"/>
                    <w:color w:val="323232"/>
                  </w:rPr>
                  <w:t>Craniomaxillofac</w:t>
                </w:r>
                <w:proofErr w:type="spellEnd"/>
                <w:r>
                  <w:rPr>
                    <w:rFonts w:ascii="Georgia" w:hAnsi="Georgia"/>
                    <w:color w:val="323232"/>
                  </w:rPr>
                  <w:t xml:space="preserve"> Surg, 45 (2017), p. 232</w:t>
                </w:r>
              </w:p>
              <w:p w14:paraId="03E33CB5" w14:textId="197C668D" w:rsidR="00692E4D" w:rsidRPr="00790B84" w:rsidRDefault="00692E4D" w:rsidP="00790B84">
                <w:pPr>
                  <w:spacing w:line="240" w:lineRule="auto"/>
                  <w:ind w:left="0" w:firstLine="0"/>
                  <w:rPr>
                    <w:rFonts w:ascii="Times New Roman" w:eastAsia="Times New Roman" w:hAnsi="Times New Roman"/>
                    <w:sz w:val="24"/>
                    <w:szCs w:val="24"/>
                  </w:rPr>
                </w:pPr>
              </w:p>
            </w:tc>
          </w:sdtContent>
        </w:sdt>
      </w:tr>
      <w:tr w:rsidR="00692E4D" w14:paraId="679E4428" w14:textId="77777777" w:rsidTr="002E6FF2">
        <w:tc>
          <w:tcPr>
            <w:tcW w:w="8640" w:type="dxa"/>
          </w:tcPr>
          <w:p w14:paraId="7439C743" w14:textId="77777777" w:rsidR="00692E4D" w:rsidRPr="00974240" w:rsidRDefault="00692E4D" w:rsidP="00692E4D">
            <w:pPr>
              <w:ind w:left="0" w:firstLine="0"/>
              <w:rPr>
                <w:b/>
              </w:rPr>
            </w:pPr>
            <w:r w:rsidRPr="006A2AEF">
              <w:rPr>
                <w:b/>
              </w:rPr>
              <w:t>Study Design(s):</w:t>
            </w:r>
          </w:p>
        </w:tc>
      </w:tr>
      <w:tr w:rsidR="00692E4D" w14:paraId="30353F40" w14:textId="77777777" w:rsidTr="002E6FF2">
        <w:sdt>
          <w:sdtPr>
            <w:rPr>
              <w:b/>
            </w:rPr>
            <w:id w:val="196748513"/>
            <w:placeholder>
              <w:docPart w:val="205A1B0B443B417CA1D395AFAABA1971"/>
            </w:placeholder>
          </w:sdtPr>
          <w:sdtEndPr/>
          <w:sdtContent>
            <w:tc>
              <w:tcPr>
                <w:tcW w:w="8640" w:type="dxa"/>
              </w:tcPr>
              <w:p w14:paraId="58BB2A7E" w14:textId="0C1AC5EA" w:rsidR="00B85435" w:rsidRDefault="00B85435" w:rsidP="00692E4D">
                <w:pPr>
                  <w:ind w:left="0" w:firstLine="0"/>
                  <w:rPr>
                    <w:b/>
                  </w:rPr>
                </w:pPr>
                <w:r>
                  <w:rPr>
                    <w:b/>
                  </w:rPr>
                  <w:t xml:space="preserve">Article 1: </w:t>
                </w:r>
                <w:r w:rsidR="008354F2">
                  <w:rPr>
                    <w:b/>
                  </w:rPr>
                  <w:t xml:space="preserve">Clinical Review </w:t>
                </w:r>
              </w:p>
              <w:p w14:paraId="3DA9A53F" w14:textId="560B3ED7" w:rsidR="00692E4D" w:rsidRPr="006A2AEF" w:rsidRDefault="00B85435" w:rsidP="00692E4D">
                <w:pPr>
                  <w:ind w:left="0" w:firstLine="0"/>
                  <w:rPr>
                    <w:b/>
                  </w:rPr>
                </w:pPr>
                <w:r>
                  <w:rPr>
                    <w:b/>
                  </w:rPr>
                  <w:t>Article 2:</w:t>
                </w:r>
                <w:r w:rsidR="005C0A61">
                  <w:rPr>
                    <w:b/>
                  </w:rPr>
                  <w:t xml:space="preserve"> </w:t>
                </w:r>
                <w:r w:rsidR="008354F2">
                  <w:rPr>
                    <w:b/>
                  </w:rPr>
                  <w:t>Retrospective Cohort Study</w:t>
                </w:r>
              </w:p>
            </w:tc>
          </w:sdtContent>
        </w:sdt>
      </w:tr>
      <w:tr w:rsidR="00692E4D" w14:paraId="6D6C34C6" w14:textId="77777777" w:rsidTr="002E6FF2">
        <w:tc>
          <w:tcPr>
            <w:tcW w:w="8640" w:type="dxa"/>
          </w:tcPr>
          <w:p w14:paraId="05C83A2B" w14:textId="77777777" w:rsidR="00692E4D" w:rsidRPr="006A2AEF" w:rsidRDefault="00692E4D" w:rsidP="002972EE">
            <w:pPr>
              <w:ind w:left="0" w:firstLine="0"/>
              <w:rPr>
                <w:b/>
              </w:rPr>
            </w:pPr>
            <w:r w:rsidRPr="00974240">
              <w:rPr>
                <w:b/>
              </w:rPr>
              <w:t>Reason for Article Selection:</w:t>
            </w:r>
          </w:p>
        </w:tc>
      </w:tr>
      <w:tr w:rsidR="00692E4D" w14:paraId="629971F7" w14:textId="77777777" w:rsidTr="002E6FF2">
        <w:sdt>
          <w:sdtPr>
            <w:rPr>
              <w:b/>
            </w:rPr>
            <w:id w:val="-1249580699"/>
            <w:placeholder>
              <w:docPart w:val="DDFEF09BC79B45F4875E7842D1533882"/>
            </w:placeholder>
          </w:sdtPr>
          <w:sdtEndPr/>
          <w:sdtContent>
            <w:tc>
              <w:tcPr>
                <w:tcW w:w="8640" w:type="dxa"/>
              </w:tcPr>
              <w:p w14:paraId="6B316FC3" w14:textId="51B9D342" w:rsidR="00692E4D" w:rsidRPr="006A2AEF" w:rsidRDefault="00E56B38" w:rsidP="00692E4D">
                <w:pPr>
                  <w:ind w:left="0" w:firstLine="0"/>
                  <w:rPr>
                    <w:b/>
                  </w:rPr>
                </w:pPr>
                <w:r>
                  <w:rPr>
                    <w:b/>
                  </w:rPr>
                  <w:t xml:space="preserve">Directly answers the PICO question </w:t>
                </w:r>
              </w:p>
            </w:tc>
          </w:sdtContent>
        </w:sdt>
      </w:tr>
      <w:tr w:rsidR="00692E4D" w14:paraId="68478E6E" w14:textId="77777777" w:rsidTr="002E6FF2">
        <w:tc>
          <w:tcPr>
            <w:tcW w:w="8640" w:type="dxa"/>
          </w:tcPr>
          <w:p w14:paraId="33B600C0" w14:textId="77777777" w:rsidR="00692E4D" w:rsidRPr="006A2AEF" w:rsidRDefault="00692E4D" w:rsidP="00692E4D">
            <w:pPr>
              <w:ind w:left="0" w:firstLine="0"/>
              <w:rPr>
                <w:b/>
              </w:rPr>
            </w:pPr>
            <w:r w:rsidRPr="00974240">
              <w:rPr>
                <w:b/>
              </w:rPr>
              <w:t>Article(s) Synopsis:</w:t>
            </w:r>
          </w:p>
        </w:tc>
      </w:tr>
      <w:tr w:rsidR="00692E4D" w14:paraId="768F9C78" w14:textId="77777777" w:rsidTr="002E6FF2">
        <w:sdt>
          <w:sdtPr>
            <w:rPr>
              <w:b/>
            </w:rPr>
            <w:id w:val="-1273706365"/>
            <w:placeholder>
              <w:docPart w:val="CD5085E3943545F0974FA7B375EE1726"/>
            </w:placeholder>
          </w:sdtPr>
          <w:sdtEndPr/>
          <w:sdtContent>
            <w:tc>
              <w:tcPr>
                <w:tcW w:w="8640" w:type="dxa"/>
              </w:tcPr>
              <w:p w14:paraId="3C4C94F0" w14:textId="29319A43" w:rsidR="008354F2" w:rsidRDefault="008354F2" w:rsidP="002E6FF2">
                <w:pPr>
                  <w:ind w:left="0" w:firstLine="0"/>
                  <w:rPr>
                    <w:b/>
                  </w:rPr>
                </w:pPr>
                <w:r>
                  <w:rPr>
                    <w:b/>
                  </w:rPr>
                  <w:t xml:space="preserve">Article 1: </w:t>
                </w:r>
              </w:p>
              <w:p w14:paraId="28C1BB6D" w14:textId="77777777" w:rsidR="00A43BE3" w:rsidRDefault="00A43BE3" w:rsidP="00A43BE3">
                <w:pPr>
                  <w:ind w:firstLine="720"/>
                </w:pPr>
                <w:r>
                  <w:t>Most periapical lesions are classified as a granuloma, cyst or abscess. Based on radiographic evidence alone, cysts and granulomas cannot be differentiated. Cysts either contain cavities completely enclosed by epithelial lining (true cysts) or contain epithelial lined cavities open to the root canals (periapical pocket cyst). There is a debate as to whether true cysts need to be treated surgically or are able to be treated via nonsurgical root canal therapy (RCT). Since about 40% of periapical lesions are cysts and 85% of periapical lesions successfully respond to RCT, it is reasonable to assume many of the cysts are responding to RCT. The purpose of this study was to evaluate the long-term clinical outcome of nonsurgical root canal treatment using calcium hydroxide in teeth with large cyst-like periapical lesions.</w:t>
                </w:r>
              </w:p>
              <w:p w14:paraId="2B400437" w14:textId="47A24B1F" w:rsidR="00A43BE3" w:rsidRDefault="00A43BE3" w:rsidP="00A43BE3">
                <w:r>
                  <w:tab/>
                </w:r>
                <w:r>
                  <w:tab/>
                </w:r>
                <w:r>
                  <w:t>Between 1991 and 2001</w:t>
                </w:r>
                <w:r>
                  <w:t>,</w:t>
                </w:r>
                <w:r>
                  <w:t xml:space="preserve"> 70 teeth with large periapical lesions in 50 patients were referred to the Department of Endodontics, Ege University. Of the 50 adults, 32 (17 males and 15 females) were selected, resulting in 42 anterior teeth. Those selected were found to have cholesterol crystals in their fluid samples. The teeth had no previous endodontic therapy. The periapical radiographs depicted large radiolucent lesions with well-defined margins around the apices of the teeth. Twenty-six of the teeth had signs and symptoms while the remaining were asymptomatic. All teeth were treated by one operator. Drainage was completed in all teeth, taking from 4 days to one month. Antibiotics were prescribed only in cases of extraoral swelling. After drainage the canals were instrumented via the step-back technique using K-type files and irrigated with 5.25% sodium hypochlorite. Calcium hydroxide paste was placed in the canal with a spiral filler, condensed with cotton pellets and sealed. The paste was changed two times at 3-week intervals and left for 3 months. After the 3-month period the dressing was removed via 5.25% </w:t>
                </w:r>
                <w:proofErr w:type="spellStart"/>
                <w:r>
                  <w:t>NaOCl</w:t>
                </w:r>
                <w:proofErr w:type="spellEnd"/>
                <w:r>
                  <w:t xml:space="preserve"> and the canals were </w:t>
                </w:r>
                <w:r>
                  <w:lastRenderedPageBreak/>
                  <w:t>obturated with gutta-percha. Teeth were then restored. Patients were seen at 3-month intervals during the first year, then at 6 or 12-month intervals in the hopes of a 2-10-year follow-up period. At the follow-up appointments radiographs were taken, analyzed and determined to have complete healing (tooth was symptomless, and the preexisting radiolucency resolved), incomplete healing (decrease in size  or presenting scar tissue) or failure (expansion or no change in periapical lesion).</w:t>
                </w:r>
              </w:p>
              <w:p w14:paraId="51EE6D9F" w14:textId="10FA3BA0" w:rsidR="00A43BE3" w:rsidRDefault="00A43BE3" w:rsidP="00A43BE3">
                <w:r>
                  <w:tab/>
                </w:r>
                <w:r>
                  <w:tab/>
                </w:r>
                <w:r>
                  <w:t xml:space="preserve">Trauma (22 teeth) was considered the most common factor in periapical lesions followed by caries or defective restorations. 71.4% of teeth were maxillary anterior teeth. Pain in 20 of the 26 symptomatic teeth was eliminated in 1-3 days, while the extraoral swelling resolved in 6-12 days. Complete healing was found in 73.8% of teeth, incomplete healing in 9.5% of teeth and failure was observed in 16.7% of teeth. 7-10 mm lesions healed in 87.5% of cases (complete healing in 79.2% and incomplete healing in 8.3%)  Lesions with a diameter of 11-18 mm healed in 77.8% of cases (complete healing in 66.7% and incomplete healing in 11.1%). A chi-square test was run to evaluate the correlation between initial size of the lesions and the outcome of treatment, and no positive relationship was found. Root canal failure occurred in seven teeth and was thought to be due to overfilling, advanced periodontal disease and further trauma. </w:t>
                </w:r>
              </w:p>
              <w:p w14:paraId="051AA2EA" w14:textId="79F67EEF" w:rsidR="008354F2" w:rsidRPr="007C03FF" w:rsidRDefault="00A43BE3" w:rsidP="007C03FF">
                <w:r>
                  <w:tab/>
                </w:r>
                <w:r>
                  <w:tab/>
                </w:r>
                <w:r>
                  <w:t xml:space="preserve">Treatment options for large periapical cysts include nonsurgical root canal therapy, apical surgery or extraction.  When nonsurgical treatment is difficult or ineffective surgery may be indicated. Another technique to possibly use is the decompression technique, which has been found to have success. Overall there are favorable results in treating a large cyst-like periapical lesion via nonsurgical root canal therapy using calcium hydroxide. </w:t>
                </w:r>
              </w:p>
              <w:p w14:paraId="71D45D9E" w14:textId="60FA8058" w:rsidR="00B85435" w:rsidRDefault="00B85435" w:rsidP="002E6FF2">
                <w:pPr>
                  <w:ind w:left="0" w:firstLine="0"/>
                  <w:rPr>
                    <w:b/>
                  </w:rPr>
                </w:pPr>
                <w:r>
                  <w:rPr>
                    <w:b/>
                  </w:rPr>
                  <w:t xml:space="preserve">Article </w:t>
                </w:r>
                <w:r w:rsidR="008354F2">
                  <w:rPr>
                    <w:b/>
                  </w:rPr>
                  <w:t>2</w:t>
                </w:r>
                <w:r>
                  <w:rPr>
                    <w:b/>
                  </w:rPr>
                  <w:t xml:space="preserve">: </w:t>
                </w:r>
              </w:p>
              <w:p w14:paraId="0AC4BB53" w14:textId="77777777" w:rsidR="00B94869" w:rsidRDefault="00B94869" w:rsidP="00B94869">
                <w:pPr>
                  <w:ind w:firstLine="720"/>
                  <w:rPr>
                    <w:rFonts w:eastAsia="Times New Roman" w:cstheme="minorHAnsi"/>
                    <w:color w:val="2E2E2E"/>
                  </w:rPr>
                </w:pPr>
                <w:r>
                  <w:t xml:space="preserve">The purpose of this study was to assess and compare different surgical and non-surgical approaches for patients with a central giant cell granuloma (CGCG). </w:t>
                </w:r>
                <w:r w:rsidRPr="00F46B5B">
                  <w:t xml:space="preserve">CGCG </w:t>
                </w:r>
                <w:r>
                  <w:t>vary from small asymptomatic, slow growing lesions to large</w:t>
                </w:r>
                <w:r w:rsidRPr="00F46B5B">
                  <w:rPr>
                    <w:rFonts w:asciiTheme="minorHAnsi" w:eastAsia="Times New Roman" w:hAnsiTheme="minorHAnsi" w:cstheme="minorHAnsi"/>
                    <w:color w:val="2E2E2E"/>
                    <w:sz w:val="24"/>
                    <w:szCs w:val="24"/>
                  </w:rPr>
                  <w:t>,</w:t>
                </w:r>
                <w:r>
                  <w:rPr>
                    <w:rFonts w:eastAsia="Times New Roman" w:cstheme="minorHAnsi"/>
                    <w:color w:val="2E2E2E"/>
                  </w:rPr>
                  <w:t xml:space="preserve"> aggressive lesions which can be destructive and may recur. </w:t>
                </w:r>
              </w:p>
              <w:p w14:paraId="38530943" w14:textId="77777777" w:rsidR="00B94869" w:rsidRDefault="00B94869" w:rsidP="00B94869">
                <w:pPr>
                  <w:ind w:firstLine="720"/>
                </w:pPr>
                <w:r>
                  <w:rPr>
                    <w:rFonts w:eastAsia="Times New Roman" w:cstheme="minorHAnsi"/>
                    <w:color w:val="2E2E2E"/>
                  </w:rPr>
                  <w:t>F</w:t>
                </w:r>
                <w:r>
                  <w:t xml:space="preserve">rom 1994 to 2013 patients with a histologically confirmed CGCG were referred to the department of Oral and Maxillofacial Surgery at the Academic Medical Center Amsterdam. Patients with an underlying syndrome or systemic diseases linked to giant cell lesions were </w:t>
                </w:r>
                <w:r w:rsidRPr="000169DD">
                  <w:t>excluded</w:t>
                </w:r>
                <w:r>
                  <w:t xml:space="preserve"> as well as patients with incomplete medical documentation. Lesions were classified as aggressive or non-aggressive based on size, localization, growth rate, symptoms, cortical bone perforation/thinning and recurrence. </w:t>
                </w:r>
                <w:r w:rsidRPr="000169DD">
                  <w:t>Patients</w:t>
                </w:r>
                <w:r>
                  <w:t xml:space="preserve"> were placed into one of three groups: group 1 (surgery), group 2 (pharmacotherapy) and group 3 (pharmacotherapy and surgery). The outcome of treatment was assessed using computed tomography and categorized as one of the following: complete remodeling, complete ossification, non-progressive residual </w:t>
                </w:r>
                <w:r>
                  <w:lastRenderedPageBreak/>
                  <w:t xml:space="preserve">lesion or progressive residual lesion. Side effects were also recorded for non-surgical interventions as well as the postoperative morbidity for surgical procedures. </w:t>
                </w:r>
              </w:p>
              <w:p w14:paraId="64972C53" w14:textId="77777777" w:rsidR="00B94869" w:rsidRDefault="00B94869" w:rsidP="00B94869">
                <w:pPr>
                  <w:ind w:firstLine="720"/>
                </w:pPr>
                <w:r>
                  <w:t xml:space="preserve">A total of 66 patients were identified and based on the eligibility criteria only 33 patients were included in the study. The study contained 51.5% males and 48.5% females with a mean age of 21.4 years at the time of diagnosis. 54.5% of the lesions were located in the mandible whereas 45.5% were located in the maxilla. 72.7% of the lesions were classified as aggressive and 27.3% as non-aggressive. Of the 33 lesions 7 were recurrent after previous surgical enucleation. Of the total of 4 patients in group 1 only one showed progression of the lesion after 6 months while the remaining showed complete remodeling. The mean follow-up was 4.7 years. Complications included skeletonization of the inferior alveolar nerve (IAN) in 3 cases, hypoesthesia of the IAN in 2 and anesthesia of the IAN in one patient. One patient lost their mandibular first molar as well as needing endodontic treatment to neighboring teeth. The remaining patients (29 patients) started in group 2, 14 of which did not need additional surgery. The mean duration of treatment for these patients was 25 months. Patients were initially treated with calcitonin nasal spray, those that did not have regression were then switched to interferon or the combination of interferon and calcitonin subcutaneous injections. The long-term response for 64.3% of the lesions was either complete remodeling or ossification and 28.6% had non-progressive residual lesions. The non-progressive residual lesions were considered to be inactive due to the small size or partial regression after pharmacotherapy, therefore they were chosen for close follow-up rather than surgical intervention. Only one lesion progressed after 1.1 years of follow-up.  The remaining 15 patients from group 2 were moved to group 3 to undergo subsequent enucleation due to one of the following: large residual radiolucency despite pharmacotherapy, lack of further spontaneous regression after cessation of pharmacotherapy, intolerance to medication, correction of bony expansion, or existence of bone cavity due to embolization of facial arteries. The long-term response for those who underwent conservative enucleation after pharmacotherapy ranged from complete remodeling (80%) to non-progressive residual lesion (20%). Only 27% of patients experienced grade 2 or moderate side effects of pharmacological treatment while 90% experienced grade 1 or mild side effects. </w:t>
                </w:r>
              </w:p>
              <w:p w14:paraId="7A1F73C3" w14:textId="23760070" w:rsidR="00B85435" w:rsidRPr="008354F2" w:rsidRDefault="00B94869" w:rsidP="008354F2">
                <w:pPr>
                  <w:ind w:firstLine="720"/>
                </w:pPr>
                <w:r>
                  <w:t xml:space="preserve">Overall it was found that pharmacological treatment is valuable in reducing the need </w:t>
                </w:r>
                <w:r>
                  <w:t xml:space="preserve"> </w:t>
                </w:r>
                <w:r>
                  <w:t xml:space="preserve">for surgery as well as decreasing the long-term recurrence rates. This treatment can be helpful in young individuals whose tooth buds and neurovascular bundles might be at risk from the surgical intervention. Moreover, the patients in group 3 that had additional surgery benefited from the pharmacotherapy because it allowed for a more conservative approach. The major limitations of this article include the large time frame, small sample size and low level of evidence. </w:t>
                </w:r>
              </w:p>
              <w:p w14:paraId="1C2FF325" w14:textId="1E108087" w:rsidR="00692E4D" w:rsidRPr="006A2AEF" w:rsidRDefault="00692E4D" w:rsidP="002E6FF2">
                <w:pPr>
                  <w:ind w:left="0" w:firstLine="0"/>
                  <w:rPr>
                    <w:b/>
                  </w:rPr>
                </w:pPr>
              </w:p>
            </w:tc>
          </w:sdtContent>
        </w:sdt>
      </w:tr>
      <w:tr w:rsidR="00692E4D" w14:paraId="3C3E7404" w14:textId="77777777" w:rsidTr="002E6FF2">
        <w:tc>
          <w:tcPr>
            <w:tcW w:w="8640" w:type="dxa"/>
          </w:tcPr>
          <w:p w14:paraId="7E72931D"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0C82B28E" w14:textId="77777777" w:rsidR="00692E4D" w:rsidRDefault="00692E4D" w:rsidP="00692E4D">
            <w:pPr>
              <w:ind w:left="0" w:firstLine="0"/>
            </w:pPr>
            <w:r>
              <w:t xml:space="preserve">See   </w:t>
            </w:r>
            <w:hyperlink r:id="rId11" w:history="1">
              <w:r w:rsidRPr="00505FEF">
                <w:rPr>
                  <w:rStyle w:val="Hyperlink"/>
                </w:rPr>
                <w:t>http://www.cebm.net/ind</w:t>
              </w:r>
              <w:r w:rsidRPr="00505FEF">
                <w:rPr>
                  <w:rStyle w:val="Hyperlink"/>
                </w:rPr>
                <w:t>e</w:t>
              </w:r>
              <w:r w:rsidRPr="00505FEF">
                <w:rPr>
                  <w:rStyle w:val="Hyperlink"/>
                </w:rPr>
                <w:t>x.aspx?o=10</w:t>
              </w:r>
              <w:r w:rsidRPr="00505FEF">
                <w:rPr>
                  <w:rStyle w:val="Hyperlink"/>
                </w:rPr>
                <w:t>2</w:t>
              </w:r>
              <w:r w:rsidRPr="00505FEF">
                <w:rPr>
                  <w:rStyle w:val="Hyperlink"/>
                </w:rPr>
                <w:t>5</w:t>
              </w:r>
            </w:hyperlink>
          </w:p>
          <w:p w14:paraId="0D089E2C" w14:textId="77777777" w:rsidR="004816C3" w:rsidRPr="009A3ACA" w:rsidRDefault="005231F5" w:rsidP="004816C3">
            <w:pPr>
              <w:ind w:left="0" w:firstLine="0"/>
            </w:pPr>
            <w:sdt>
              <w:sdtPr>
                <w:rPr>
                  <w:b/>
                </w:rPr>
                <w:id w:val="177859719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1EA8B462" w14:textId="77777777" w:rsidR="004816C3" w:rsidRPr="009A3ACA" w:rsidRDefault="005231F5"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14:paraId="491CE87F" w14:textId="77777777" w:rsidR="004816C3" w:rsidRPr="009A3ACA" w:rsidRDefault="005231F5"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75102241" w14:textId="2C5F7F31" w:rsidR="004816C3" w:rsidRPr="00E2331B" w:rsidRDefault="005231F5" w:rsidP="004816C3">
            <w:pPr>
              <w:ind w:left="0" w:firstLine="0"/>
            </w:pPr>
            <w:sdt>
              <w:sdtPr>
                <w:rPr>
                  <w:b/>
                </w:rPr>
                <w:id w:val="1155877490"/>
                <w14:checkbox>
                  <w14:checked w14:val="0"/>
                  <w14:checkedState w14:val="2612" w14:font="MS Gothic"/>
                  <w14:uncheckedState w14:val="2610" w14:font="MS Gothic"/>
                </w14:checkbox>
              </w:sdtPr>
              <w:sdtEndPr/>
              <w:sdtContent>
                <w:r w:rsidR="0098674B">
                  <w:rPr>
                    <w:rFonts w:ascii="MS Gothic" w:eastAsia="MS Gothic" w:hAnsi="MS Gothic" w:hint="eastAsia"/>
                    <w:b/>
                  </w:rPr>
                  <w:t>☐</w:t>
                </w:r>
              </w:sdtContent>
            </w:sdt>
            <w:r w:rsidR="004816C3">
              <w:rPr>
                <w:b/>
              </w:rPr>
              <w:t xml:space="preserve"> 2b </w:t>
            </w:r>
            <w:r w:rsidR="004816C3">
              <w:t>– Individual Cohort Study</w:t>
            </w:r>
          </w:p>
          <w:p w14:paraId="06FF1AD1" w14:textId="77777777" w:rsidR="004816C3" w:rsidRPr="00E2331B" w:rsidRDefault="005231F5"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03B47981" w14:textId="1D1DEAF7" w:rsidR="004816C3" w:rsidRPr="00E2331B" w:rsidRDefault="005231F5" w:rsidP="004816C3">
            <w:pPr>
              <w:ind w:left="0" w:firstLine="0"/>
            </w:pPr>
            <w:sdt>
              <w:sdtPr>
                <w:rPr>
                  <w:b/>
                </w:rPr>
                <w:id w:val="1068152774"/>
                <w14:checkbox>
                  <w14:checked w14:val="0"/>
                  <w14:checkedState w14:val="2612" w14:font="MS Gothic"/>
                  <w14:uncheckedState w14:val="2610" w14:font="MS Gothic"/>
                </w14:checkbox>
              </w:sdtPr>
              <w:sdtEndPr/>
              <w:sdtContent>
                <w:r w:rsidR="007C03FF">
                  <w:rPr>
                    <w:rFonts w:ascii="MS Gothic" w:eastAsia="MS Gothic" w:hAnsi="MS Gothic" w:hint="eastAsia"/>
                    <w:b/>
                  </w:rPr>
                  <w:t>☐</w:t>
                </w:r>
              </w:sdtContent>
            </w:sdt>
            <w:r w:rsidR="004816C3">
              <w:rPr>
                <w:b/>
              </w:rPr>
              <w:t xml:space="preserve"> 4a</w:t>
            </w:r>
            <w:r w:rsidR="004816C3">
              <w:t xml:space="preserve"> – Systematic Review of Case Control Studies</w:t>
            </w:r>
          </w:p>
          <w:p w14:paraId="3DA5F878" w14:textId="656A797A" w:rsidR="004816C3" w:rsidRPr="00944D52" w:rsidRDefault="005231F5" w:rsidP="004816C3">
            <w:pPr>
              <w:ind w:left="0" w:firstLine="0"/>
            </w:pPr>
            <w:sdt>
              <w:sdtPr>
                <w:rPr>
                  <w:b/>
                </w:rPr>
                <w:id w:val="-1007201177"/>
                <w14:checkbox>
                  <w14:checked w14:val="1"/>
                  <w14:checkedState w14:val="2612" w14:font="MS Gothic"/>
                  <w14:uncheckedState w14:val="2610" w14:font="MS Gothic"/>
                </w14:checkbox>
              </w:sdtPr>
              <w:sdtEndPr/>
              <w:sdtContent>
                <w:r w:rsidR="007C03FF">
                  <w:rPr>
                    <w:rFonts w:ascii="MS Gothic" w:eastAsia="MS Gothic" w:hAnsi="MS Gothic" w:hint="eastAsia"/>
                    <w:b/>
                  </w:rPr>
                  <w:t>☒</w:t>
                </w:r>
              </w:sdtContent>
            </w:sdt>
            <w:r w:rsidR="004816C3">
              <w:rPr>
                <w:b/>
              </w:rPr>
              <w:t xml:space="preserve"> 4b</w:t>
            </w:r>
            <w:r w:rsidR="004816C3">
              <w:t xml:space="preserve"> – Individual Case Control Study</w:t>
            </w:r>
          </w:p>
          <w:p w14:paraId="2339ECB0" w14:textId="27D85282" w:rsidR="004816C3" w:rsidRPr="00944D52" w:rsidRDefault="005231F5" w:rsidP="004816C3">
            <w:pPr>
              <w:ind w:left="0" w:firstLine="0"/>
            </w:pPr>
            <w:sdt>
              <w:sdtPr>
                <w:rPr>
                  <w:b/>
                </w:rPr>
                <w:id w:val="90821527"/>
                <w14:checkbox>
                  <w14:checked w14:val="0"/>
                  <w14:checkedState w14:val="2612" w14:font="MS Gothic"/>
                  <w14:uncheckedState w14:val="2610" w14:font="MS Gothic"/>
                </w14:checkbox>
              </w:sdtPr>
              <w:sdtEndPr/>
              <w:sdtContent>
                <w:r w:rsidR="008354F2">
                  <w:rPr>
                    <w:rFonts w:ascii="MS Gothic" w:eastAsia="MS Gothic" w:hAnsi="MS Gothic" w:hint="eastAsia"/>
                    <w:b/>
                  </w:rPr>
                  <w:t>☐</w:t>
                </w:r>
              </w:sdtContent>
            </w:sdt>
            <w:r w:rsidR="004816C3">
              <w:rPr>
                <w:b/>
              </w:rPr>
              <w:t xml:space="preserve"> 5</w:t>
            </w:r>
            <w:r w:rsidR="004816C3">
              <w:t xml:space="preserve"> – Case Series, Case Reports</w:t>
            </w:r>
          </w:p>
          <w:p w14:paraId="0039CE4B" w14:textId="2B28391A" w:rsidR="004816C3" w:rsidRDefault="005231F5" w:rsidP="004816C3">
            <w:pPr>
              <w:ind w:left="0" w:firstLine="0"/>
            </w:pPr>
            <w:sdt>
              <w:sdtPr>
                <w:rPr>
                  <w:b/>
                </w:rPr>
                <w:id w:val="62923687"/>
                <w14:checkbox>
                  <w14:checked w14:val="0"/>
                  <w14:checkedState w14:val="2612" w14:font="MS Gothic"/>
                  <w14:uncheckedState w14:val="2610" w14:font="MS Gothic"/>
                </w14:checkbox>
              </w:sdtPr>
              <w:sdtEndPr/>
              <w:sdtContent>
                <w:r w:rsidR="007C03FF">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44ABC91F" w14:textId="77777777" w:rsidR="004816C3" w:rsidRDefault="005231F5"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0D4F74BF" w14:textId="77777777" w:rsidR="00692E4D" w:rsidRPr="004816C3" w:rsidRDefault="005231F5"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40EA7575" w14:textId="77777777" w:rsidTr="002E6FF2">
        <w:tc>
          <w:tcPr>
            <w:tcW w:w="8640" w:type="dxa"/>
          </w:tcPr>
          <w:p w14:paraId="42F592DF" w14:textId="77777777" w:rsidR="00692E4D" w:rsidRPr="00974240" w:rsidRDefault="00692E4D" w:rsidP="00692E4D">
            <w:pPr>
              <w:ind w:left="0" w:firstLine="0"/>
              <w:rPr>
                <w:b/>
              </w:rPr>
            </w:pPr>
            <w:r w:rsidRPr="00974240">
              <w:rPr>
                <w:b/>
              </w:rPr>
              <w:t>Strength of Recommendation Taxonomy (SORT) For Guidelines and Systematic Reviews</w:t>
            </w:r>
          </w:p>
          <w:p w14:paraId="6210518C" w14:textId="77777777" w:rsidR="00692E4D" w:rsidRDefault="00692E4D" w:rsidP="00692E4D">
            <w:pPr>
              <w:ind w:left="0" w:firstLine="0"/>
              <w:rPr>
                <w:b/>
              </w:rPr>
            </w:pPr>
            <w:r>
              <w:t xml:space="preserve">See article </w:t>
            </w:r>
            <w:r w:rsidRPr="00355808">
              <w:rPr>
                <w:b/>
              </w:rPr>
              <w:t>J Evid Base Dent Pract 2007;147-150</w:t>
            </w:r>
          </w:p>
          <w:p w14:paraId="27154E37" w14:textId="77777777" w:rsidR="00692E4D" w:rsidRDefault="005231F5"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77664C19" w14:textId="039C3C94" w:rsidR="00692E4D" w:rsidRDefault="005231F5"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451DAA">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14:paraId="2A825D29" w14:textId="77777777" w:rsidR="00692E4D" w:rsidRDefault="005231F5"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663CADF5" w14:textId="77777777" w:rsidR="00692E4D" w:rsidRDefault="00692E4D" w:rsidP="00692E4D">
            <w:pPr>
              <w:ind w:left="0" w:firstLine="0"/>
              <w:rPr>
                <w:b/>
              </w:rPr>
            </w:pPr>
          </w:p>
        </w:tc>
      </w:tr>
      <w:tr w:rsidR="00692E4D" w14:paraId="52D03C85" w14:textId="77777777" w:rsidTr="002E6FF2">
        <w:tc>
          <w:tcPr>
            <w:tcW w:w="8640" w:type="dxa"/>
          </w:tcPr>
          <w:p w14:paraId="7DA8E117"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5AAD063C" w14:textId="77777777" w:rsidTr="002E6FF2">
        <w:sdt>
          <w:sdtPr>
            <w:rPr>
              <w:b/>
            </w:rPr>
            <w:id w:val="-1330988089"/>
          </w:sdtPr>
          <w:sdtEndPr/>
          <w:sdtContent>
            <w:tc>
              <w:tcPr>
                <w:tcW w:w="8640" w:type="dxa"/>
              </w:tcPr>
              <w:p w14:paraId="19AE9C40" w14:textId="77704EF5" w:rsidR="002972EE" w:rsidRDefault="00D8465A" w:rsidP="002972EE">
                <w:pPr>
                  <w:ind w:left="0" w:firstLine="0"/>
                </w:pPr>
                <w:r>
                  <w:rPr>
                    <w:b/>
                  </w:rPr>
                  <w:t xml:space="preserve">The literature shows that RCT has a high success rate for cysts, granulomas and abscesses. </w:t>
                </w:r>
                <w:r w:rsidR="00591D21">
                  <w:rPr>
                    <w:b/>
                  </w:rPr>
                  <w:t>Based on patient’s radiographs</w:t>
                </w:r>
                <w:r w:rsidR="00F44A25">
                  <w:rPr>
                    <w:b/>
                  </w:rPr>
                  <w:t>,</w:t>
                </w:r>
                <w:r w:rsidR="00591D21">
                  <w:rPr>
                    <w:b/>
                  </w:rPr>
                  <w:t xml:space="preserve"> pulp testing </w:t>
                </w:r>
                <w:r w:rsidR="00F44A25">
                  <w:rPr>
                    <w:b/>
                  </w:rPr>
                  <w:t xml:space="preserve">and symptoms </w:t>
                </w:r>
                <w:r w:rsidR="00591D21">
                  <w:rPr>
                    <w:b/>
                  </w:rPr>
                  <w:t>the lesion is of endodontic origin and</w:t>
                </w:r>
                <w:r w:rsidR="00F44A25">
                  <w:rPr>
                    <w:b/>
                  </w:rPr>
                  <w:t xml:space="preserve"> root canal therapy is the recommended treatment of choice. </w:t>
                </w:r>
              </w:p>
            </w:tc>
          </w:sdtContent>
        </w:sdt>
      </w:tr>
    </w:tbl>
    <w:p w14:paraId="3AD51479" w14:textId="77777777" w:rsidR="004112F5" w:rsidRDefault="004112F5" w:rsidP="00692E4D">
      <w:pPr>
        <w:pStyle w:val="ColorfulList-Accent11"/>
        <w:ind w:left="0" w:firstLine="0"/>
        <w:rPr>
          <w:b/>
        </w:rPr>
      </w:pPr>
    </w:p>
    <w:p w14:paraId="1B7F3648" w14:textId="77777777" w:rsidR="003B2868" w:rsidRDefault="003B2868" w:rsidP="00692E4D">
      <w:pPr>
        <w:pStyle w:val="ColorfulList-Accent11"/>
        <w:ind w:left="0" w:firstLine="0"/>
        <w:rPr>
          <w:b/>
        </w:rPr>
      </w:pPr>
    </w:p>
    <w:p w14:paraId="7A523734" w14:textId="77777777" w:rsidR="003B2868" w:rsidRPr="006A2AEF" w:rsidRDefault="003B2868" w:rsidP="00692E4D">
      <w:pPr>
        <w:pStyle w:val="ColorfulList-Accent11"/>
        <w:ind w:left="0" w:firstLine="0"/>
        <w:rPr>
          <w:b/>
        </w:rPr>
      </w:pPr>
    </w:p>
    <w:p w14:paraId="3F1CB7EF" w14:textId="77777777" w:rsidR="00746A56" w:rsidRDefault="004112F5" w:rsidP="00692E4D">
      <w:pPr>
        <w:ind w:left="0" w:firstLine="0"/>
        <w:rPr>
          <w:b/>
        </w:rPr>
      </w:pPr>
      <w:r>
        <w:tab/>
      </w:r>
      <w:r>
        <w:tab/>
      </w:r>
    </w:p>
    <w:p w14:paraId="4BC910FC" w14:textId="77777777" w:rsidR="003B2868" w:rsidRDefault="003B2868" w:rsidP="00692E4D">
      <w:pPr>
        <w:ind w:left="0" w:firstLine="0"/>
        <w:rPr>
          <w:b/>
        </w:rPr>
      </w:pPr>
    </w:p>
    <w:p w14:paraId="7B9D601F" w14:textId="77777777" w:rsidR="006A2AEF" w:rsidRDefault="006A2AEF" w:rsidP="00692E4D">
      <w:pPr>
        <w:pStyle w:val="ColorfulList-Accent11"/>
        <w:ind w:left="0" w:firstLine="0"/>
      </w:pPr>
    </w:p>
    <w:p w14:paraId="5F7D7787" w14:textId="77777777" w:rsidR="003B2868" w:rsidRPr="00746A56" w:rsidRDefault="003B2868" w:rsidP="00692E4D">
      <w:pPr>
        <w:pStyle w:val="ColorfulList-Accent11"/>
        <w:ind w:left="0" w:firstLine="0"/>
      </w:pPr>
    </w:p>
    <w:p w14:paraId="6B5F5008" w14:textId="77777777" w:rsidR="004112F5" w:rsidRDefault="004112F5" w:rsidP="00692E4D">
      <w:pPr>
        <w:ind w:left="0" w:firstLine="0"/>
      </w:pPr>
    </w:p>
    <w:p w14:paraId="428E2284" w14:textId="77777777" w:rsidR="004112F5" w:rsidRPr="00355808" w:rsidRDefault="004112F5" w:rsidP="00692E4D">
      <w:pPr>
        <w:ind w:left="0" w:firstLine="0"/>
      </w:pPr>
      <w:r>
        <w:t xml:space="preserve">    </w:t>
      </w:r>
    </w:p>
    <w:p w14:paraId="61CEF319"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33A5D" w14:textId="77777777" w:rsidR="005231F5" w:rsidRDefault="005231F5" w:rsidP="00692E4D">
      <w:pPr>
        <w:spacing w:after="0" w:line="240" w:lineRule="auto"/>
      </w:pPr>
      <w:r>
        <w:separator/>
      </w:r>
    </w:p>
  </w:endnote>
  <w:endnote w:type="continuationSeparator" w:id="0">
    <w:p w14:paraId="74093678" w14:textId="77777777" w:rsidR="005231F5" w:rsidRDefault="005231F5"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D7305"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41A84" w14:textId="77777777" w:rsidR="005231F5" w:rsidRDefault="005231F5" w:rsidP="00692E4D">
      <w:pPr>
        <w:spacing w:after="0" w:line="240" w:lineRule="auto"/>
      </w:pPr>
      <w:r>
        <w:separator/>
      </w:r>
    </w:p>
  </w:footnote>
  <w:footnote w:type="continuationSeparator" w:id="0">
    <w:p w14:paraId="131FA1D6" w14:textId="77777777" w:rsidR="005231F5" w:rsidRDefault="005231F5"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455E6" w14:textId="77777777" w:rsidR="00692E4D" w:rsidRPr="00292BEF" w:rsidRDefault="00692E4D" w:rsidP="00692E4D">
    <w:pPr>
      <w:pStyle w:val="Header"/>
      <w:jc w:val="right"/>
      <w:rPr>
        <w:sz w:val="28"/>
      </w:rPr>
    </w:pPr>
    <w:r w:rsidRPr="00292BEF">
      <w:rPr>
        <w:sz w:val="28"/>
      </w:rPr>
      <w:t>MUSoD Rounds</w:t>
    </w:r>
  </w:p>
  <w:p w14:paraId="40B033AB"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42BAFC2A"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0"/>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14ED6"/>
    <w:rsid w:val="000353D8"/>
    <w:rsid w:val="000573BB"/>
    <w:rsid w:val="000C52D3"/>
    <w:rsid w:val="00192604"/>
    <w:rsid w:val="001C073A"/>
    <w:rsid w:val="0021237A"/>
    <w:rsid w:val="002967BF"/>
    <w:rsid w:val="002972EE"/>
    <w:rsid w:val="002C4ABF"/>
    <w:rsid w:val="002E6FF2"/>
    <w:rsid w:val="003B2868"/>
    <w:rsid w:val="004112F5"/>
    <w:rsid w:val="00451DAA"/>
    <w:rsid w:val="004816C3"/>
    <w:rsid w:val="004B1110"/>
    <w:rsid w:val="004B6DF9"/>
    <w:rsid w:val="005231F5"/>
    <w:rsid w:val="00527DCF"/>
    <w:rsid w:val="00591D21"/>
    <w:rsid w:val="005C0A61"/>
    <w:rsid w:val="005C61AF"/>
    <w:rsid w:val="005F06DC"/>
    <w:rsid w:val="00657CF8"/>
    <w:rsid w:val="00672CAF"/>
    <w:rsid w:val="00692E4D"/>
    <w:rsid w:val="006A2AEF"/>
    <w:rsid w:val="006A5E4B"/>
    <w:rsid w:val="006B19FE"/>
    <w:rsid w:val="006E104A"/>
    <w:rsid w:val="007278F8"/>
    <w:rsid w:val="00746A56"/>
    <w:rsid w:val="00790B84"/>
    <w:rsid w:val="007C03FF"/>
    <w:rsid w:val="007C41B5"/>
    <w:rsid w:val="008354F2"/>
    <w:rsid w:val="0084217E"/>
    <w:rsid w:val="008A3451"/>
    <w:rsid w:val="008C1AA0"/>
    <w:rsid w:val="00912E1E"/>
    <w:rsid w:val="0098674B"/>
    <w:rsid w:val="00A228DA"/>
    <w:rsid w:val="00A366FF"/>
    <w:rsid w:val="00A43BE3"/>
    <w:rsid w:val="00A80958"/>
    <w:rsid w:val="00B84DF7"/>
    <w:rsid w:val="00B85435"/>
    <w:rsid w:val="00B87866"/>
    <w:rsid w:val="00B94869"/>
    <w:rsid w:val="00BA7121"/>
    <w:rsid w:val="00BC7B15"/>
    <w:rsid w:val="00C75884"/>
    <w:rsid w:val="00CA3DE6"/>
    <w:rsid w:val="00CF7CC1"/>
    <w:rsid w:val="00D51FC8"/>
    <w:rsid w:val="00D8465A"/>
    <w:rsid w:val="00DD26F4"/>
    <w:rsid w:val="00E4293E"/>
    <w:rsid w:val="00E44F00"/>
    <w:rsid w:val="00E56B38"/>
    <w:rsid w:val="00E80A46"/>
    <w:rsid w:val="00E935F3"/>
    <w:rsid w:val="00F32487"/>
    <w:rsid w:val="00F44A25"/>
    <w:rsid w:val="00F46D38"/>
    <w:rsid w:val="00F74758"/>
    <w:rsid w:val="00F76708"/>
    <w:rsid w:val="00F82E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7BF662"/>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21237A"/>
    <w:pPr>
      <w:spacing w:before="100" w:beforeAutospacing="1" w:after="100" w:afterAutospacing="1" w:line="240" w:lineRule="auto"/>
      <w:ind w:left="0" w:firstLine="0"/>
    </w:pPr>
    <w:rPr>
      <w:rFonts w:ascii="Times New Roman" w:eastAsia="Times New Roman" w:hAnsi="Times New Roman"/>
      <w:sz w:val="24"/>
      <w:szCs w:val="24"/>
    </w:rPr>
  </w:style>
  <w:style w:type="character" w:styleId="Emphasis">
    <w:name w:val="Emphasis"/>
    <w:basedOn w:val="DefaultParagraphFont"/>
    <w:uiPriority w:val="20"/>
    <w:qFormat/>
    <w:rsid w:val="00BC7B15"/>
    <w:rPr>
      <w:i/>
      <w:iCs/>
    </w:rPr>
  </w:style>
  <w:style w:type="character" w:styleId="Strong">
    <w:name w:val="Strong"/>
    <w:basedOn w:val="DefaultParagraphFont"/>
    <w:uiPriority w:val="22"/>
    <w:qFormat/>
    <w:rsid w:val="00BC7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05063">
      <w:bodyDiv w:val="1"/>
      <w:marLeft w:val="0"/>
      <w:marRight w:val="0"/>
      <w:marTop w:val="0"/>
      <w:marBottom w:val="0"/>
      <w:divBdr>
        <w:top w:val="none" w:sz="0" w:space="0" w:color="auto"/>
        <w:left w:val="none" w:sz="0" w:space="0" w:color="auto"/>
        <w:bottom w:val="none" w:sz="0" w:space="0" w:color="auto"/>
        <w:right w:val="none" w:sz="0" w:space="0" w:color="auto"/>
      </w:divBdr>
      <w:divsChild>
        <w:div w:id="1675298152">
          <w:marLeft w:val="0"/>
          <w:marRight w:val="0"/>
          <w:marTop w:val="0"/>
          <w:marBottom w:val="0"/>
          <w:divBdr>
            <w:top w:val="none" w:sz="0" w:space="0" w:color="auto"/>
            <w:left w:val="none" w:sz="0" w:space="0" w:color="auto"/>
            <w:bottom w:val="none" w:sz="0" w:space="0" w:color="auto"/>
            <w:right w:val="none" w:sz="0" w:space="0" w:color="auto"/>
          </w:divBdr>
        </w:div>
        <w:div w:id="1732119046">
          <w:marLeft w:val="0"/>
          <w:marRight w:val="0"/>
          <w:marTop w:val="0"/>
          <w:marBottom w:val="0"/>
          <w:divBdr>
            <w:top w:val="none" w:sz="0" w:space="0" w:color="auto"/>
            <w:left w:val="none" w:sz="0" w:space="0" w:color="auto"/>
            <w:bottom w:val="none" w:sz="0" w:space="0" w:color="auto"/>
            <w:right w:val="none" w:sz="0" w:space="0" w:color="auto"/>
          </w:divBdr>
        </w:div>
      </w:divsChild>
    </w:div>
    <w:div w:id="302082976">
      <w:bodyDiv w:val="1"/>
      <w:marLeft w:val="0"/>
      <w:marRight w:val="0"/>
      <w:marTop w:val="0"/>
      <w:marBottom w:val="0"/>
      <w:divBdr>
        <w:top w:val="none" w:sz="0" w:space="0" w:color="auto"/>
        <w:left w:val="none" w:sz="0" w:space="0" w:color="auto"/>
        <w:bottom w:val="none" w:sz="0" w:space="0" w:color="auto"/>
        <w:right w:val="none" w:sz="0" w:space="0" w:color="auto"/>
      </w:divBdr>
      <w:divsChild>
        <w:div w:id="1002397533">
          <w:marLeft w:val="0"/>
          <w:marRight w:val="0"/>
          <w:marTop w:val="0"/>
          <w:marBottom w:val="0"/>
          <w:divBdr>
            <w:top w:val="none" w:sz="0" w:space="0" w:color="auto"/>
            <w:left w:val="none" w:sz="0" w:space="0" w:color="auto"/>
            <w:bottom w:val="none" w:sz="0" w:space="0" w:color="auto"/>
            <w:right w:val="none" w:sz="0" w:space="0" w:color="auto"/>
          </w:divBdr>
        </w:div>
        <w:div w:id="462432693">
          <w:marLeft w:val="0"/>
          <w:marRight w:val="0"/>
          <w:marTop w:val="0"/>
          <w:marBottom w:val="0"/>
          <w:divBdr>
            <w:top w:val="none" w:sz="0" w:space="0" w:color="auto"/>
            <w:left w:val="none" w:sz="0" w:space="0" w:color="auto"/>
            <w:bottom w:val="none" w:sz="0" w:space="0" w:color="auto"/>
            <w:right w:val="none" w:sz="0" w:space="0" w:color="auto"/>
          </w:divBdr>
        </w:div>
      </w:divsChild>
    </w:div>
    <w:div w:id="426579061">
      <w:bodyDiv w:val="1"/>
      <w:marLeft w:val="0"/>
      <w:marRight w:val="0"/>
      <w:marTop w:val="0"/>
      <w:marBottom w:val="0"/>
      <w:divBdr>
        <w:top w:val="none" w:sz="0" w:space="0" w:color="auto"/>
        <w:left w:val="none" w:sz="0" w:space="0" w:color="auto"/>
        <w:bottom w:val="none" w:sz="0" w:space="0" w:color="auto"/>
        <w:right w:val="none" w:sz="0" w:space="0" w:color="auto"/>
      </w:divBdr>
      <w:divsChild>
        <w:div w:id="879630697">
          <w:marLeft w:val="0"/>
          <w:marRight w:val="0"/>
          <w:marTop w:val="0"/>
          <w:marBottom w:val="0"/>
          <w:divBdr>
            <w:top w:val="none" w:sz="0" w:space="0" w:color="auto"/>
            <w:left w:val="none" w:sz="0" w:space="0" w:color="auto"/>
            <w:bottom w:val="none" w:sz="0" w:space="0" w:color="auto"/>
            <w:right w:val="none" w:sz="0" w:space="0" w:color="auto"/>
          </w:divBdr>
        </w:div>
        <w:div w:id="1495991330">
          <w:marLeft w:val="0"/>
          <w:marRight w:val="0"/>
          <w:marTop w:val="0"/>
          <w:marBottom w:val="0"/>
          <w:divBdr>
            <w:top w:val="none" w:sz="0" w:space="0" w:color="auto"/>
            <w:left w:val="none" w:sz="0" w:space="0" w:color="auto"/>
            <w:bottom w:val="none" w:sz="0" w:space="0" w:color="auto"/>
            <w:right w:val="none" w:sz="0" w:space="0" w:color="auto"/>
          </w:divBdr>
        </w:div>
      </w:divsChild>
    </w:div>
    <w:div w:id="445855789">
      <w:bodyDiv w:val="1"/>
      <w:marLeft w:val="0"/>
      <w:marRight w:val="0"/>
      <w:marTop w:val="0"/>
      <w:marBottom w:val="0"/>
      <w:divBdr>
        <w:top w:val="none" w:sz="0" w:space="0" w:color="auto"/>
        <w:left w:val="none" w:sz="0" w:space="0" w:color="auto"/>
        <w:bottom w:val="none" w:sz="0" w:space="0" w:color="auto"/>
        <w:right w:val="none" w:sz="0" w:space="0" w:color="auto"/>
      </w:divBdr>
      <w:divsChild>
        <w:div w:id="1821269566">
          <w:marLeft w:val="0"/>
          <w:marRight w:val="0"/>
          <w:marTop w:val="0"/>
          <w:marBottom w:val="0"/>
          <w:divBdr>
            <w:top w:val="none" w:sz="0" w:space="0" w:color="auto"/>
            <w:left w:val="none" w:sz="0" w:space="0" w:color="auto"/>
            <w:bottom w:val="none" w:sz="0" w:space="0" w:color="auto"/>
            <w:right w:val="none" w:sz="0" w:space="0" w:color="auto"/>
          </w:divBdr>
          <w:divsChild>
            <w:div w:id="939414446">
              <w:marLeft w:val="0"/>
              <w:marRight w:val="0"/>
              <w:marTop w:val="0"/>
              <w:marBottom w:val="0"/>
              <w:divBdr>
                <w:top w:val="none" w:sz="0" w:space="0" w:color="auto"/>
                <w:left w:val="none" w:sz="0" w:space="0" w:color="auto"/>
                <w:bottom w:val="none" w:sz="0" w:space="0" w:color="auto"/>
                <w:right w:val="none" w:sz="0" w:space="0" w:color="auto"/>
              </w:divBdr>
              <w:divsChild>
                <w:div w:id="17654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069815">
      <w:bodyDiv w:val="1"/>
      <w:marLeft w:val="0"/>
      <w:marRight w:val="0"/>
      <w:marTop w:val="0"/>
      <w:marBottom w:val="0"/>
      <w:divBdr>
        <w:top w:val="none" w:sz="0" w:space="0" w:color="auto"/>
        <w:left w:val="none" w:sz="0" w:space="0" w:color="auto"/>
        <w:bottom w:val="none" w:sz="0" w:space="0" w:color="auto"/>
        <w:right w:val="none" w:sz="0" w:space="0" w:color="auto"/>
      </w:divBdr>
      <w:divsChild>
        <w:div w:id="1617442703">
          <w:marLeft w:val="0"/>
          <w:marRight w:val="0"/>
          <w:marTop w:val="0"/>
          <w:marBottom w:val="0"/>
          <w:divBdr>
            <w:top w:val="none" w:sz="0" w:space="0" w:color="auto"/>
            <w:left w:val="none" w:sz="0" w:space="0" w:color="auto"/>
            <w:bottom w:val="none" w:sz="0" w:space="0" w:color="auto"/>
            <w:right w:val="none" w:sz="0" w:space="0" w:color="auto"/>
          </w:divBdr>
        </w:div>
        <w:div w:id="120222796">
          <w:marLeft w:val="0"/>
          <w:marRight w:val="0"/>
          <w:marTop w:val="0"/>
          <w:marBottom w:val="0"/>
          <w:divBdr>
            <w:top w:val="none" w:sz="0" w:space="0" w:color="auto"/>
            <w:left w:val="none" w:sz="0" w:space="0" w:color="auto"/>
            <w:bottom w:val="none" w:sz="0" w:space="0" w:color="auto"/>
            <w:right w:val="none" w:sz="0" w:space="0" w:color="auto"/>
          </w:divBdr>
        </w:div>
      </w:divsChild>
    </w:div>
    <w:div w:id="1167555412">
      <w:bodyDiv w:val="1"/>
      <w:marLeft w:val="0"/>
      <w:marRight w:val="0"/>
      <w:marTop w:val="0"/>
      <w:marBottom w:val="0"/>
      <w:divBdr>
        <w:top w:val="none" w:sz="0" w:space="0" w:color="auto"/>
        <w:left w:val="none" w:sz="0" w:space="0" w:color="auto"/>
        <w:bottom w:val="none" w:sz="0" w:space="0" w:color="auto"/>
        <w:right w:val="none" w:sz="0" w:space="0" w:color="auto"/>
      </w:divBdr>
    </w:div>
    <w:div w:id="1497846097">
      <w:bodyDiv w:val="1"/>
      <w:marLeft w:val="0"/>
      <w:marRight w:val="0"/>
      <w:marTop w:val="0"/>
      <w:marBottom w:val="0"/>
      <w:divBdr>
        <w:top w:val="none" w:sz="0" w:space="0" w:color="auto"/>
        <w:left w:val="none" w:sz="0" w:space="0" w:color="auto"/>
        <w:bottom w:val="none" w:sz="0" w:space="0" w:color="auto"/>
        <w:right w:val="none" w:sz="0" w:space="0" w:color="auto"/>
      </w:divBdr>
      <w:divsChild>
        <w:div w:id="666981245">
          <w:marLeft w:val="0"/>
          <w:marRight w:val="0"/>
          <w:marTop w:val="0"/>
          <w:marBottom w:val="0"/>
          <w:divBdr>
            <w:top w:val="none" w:sz="0" w:space="0" w:color="auto"/>
            <w:left w:val="none" w:sz="0" w:space="0" w:color="auto"/>
            <w:bottom w:val="none" w:sz="0" w:space="0" w:color="auto"/>
            <w:right w:val="none" w:sz="0" w:space="0" w:color="auto"/>
          </w:divBdr>
        </w:div>
        <w:div w:id="159736000">
          <w:marLeft w:val="0"/>
          <w:marRight w:val="0"/>
          <w:marTop w:val="0"/>
          <w:marBottom w:val="0"/>
          <w:divBdr>
            <w:top w:val="none" w:sz="0" w:space="0" w:color="auto"/>
            <w:left w:val="none" w:sz="0" w:space="0" w:color="auto"/>
            <w:bottom w:val="none" w:sz="0" w:space="0" w:color="auto"/>
            <w:right w:val="none" w:sz="0" w:space="0" w:color="auto"/>
          </w:divBdr>
        </w:div>
      </w:divsChild>
    </w:div>
    <w:div w:id="1726684220">
      <w:bodyDiv w:val="1"/>
      <w:marLeft w:val="0"/>
      <w:marRight w:val="0"/>
      <w:marTop w:val="0"/>
      <w:marBottom w:val="0"/>
      <w:divBdr>
        <w:top w:val="none" w:sz="0" w:space="0" w:color="auto"/>
        <w:left w:val="none" w:sz="0" w:space="0" w:color="auto"/>
        <w:bottom w:val="none" w:sz="0" w:space="0" w:color="auto"/>
        <w:right w:val="none" w:sz="0" w:space="0" w:color="auto"/>
      </w:divBdr>
      <w:divsChild>
        <w:div w:id="1746684527">
          <w:marLeft w:val="0"/>
          <w:marRight w:val="0"/>
          <w:marTop w:val="0"/>
          <w:marBottom w:val="0"/>
          <w:divBdr>
            <w:top w:val="none" w:sz="0" w:space="0" w:color="auto"/>
            <w:left w:val="none" w:sz="0" w:space="0" w:color="auto"/>
            <w:bottom w:val="none" w:sz="0" w:space="0" w:color="auto"/>
            <w:right w:val="none" w:sz="0" w:space="0" w:color="auto"/>
          </w:divBdr>
        </w:div>
        <w:div w:id="460733353">
          <w:marLeft w:val="0"/>
          <w:marRight w:val="0"/>
          <w:marTop w:val="0"/>
          <w:marBottom w:val="0"/>
          <w:divBdr>
            <w:top w:val="none" w:sz="0" w:space="0" w:color="auto"/>
            <w:left w:val="none" w:sz="0" w:space="0" w:color="auto"/>
            <w:bottom w:val="none" w:sz="0" w:space="0" w:color="auto"/>
            <w:right w:val="none" w:sz="0" w:space="0" w:color="auto"/>
          </w:divBdr>
        </w:div>
      </w:divsChild>
    </w:div>
    <w:div w:id="1978103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7B40A4"/>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Pung, Gabriella</cp:lastModifiedBy>
  <cp:revision>34</cp:revision>
  <dcterms:created xsi:type="dcterms:W3CDTF">2020-09-23T18:41:00Z</dcterms:created>
  <dcterms:modified xsi:type="dcterms:W3CDTF">2020-09-30T02:07:00Z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