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C0058A" w:rsidP="00875E38">
                <w:r>
                  <w:t>Hanfrey Deng</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C0058A" w:rsidP="009F7390">
                <w:proofErr w:type="spellStart"/>
                <w:r>
                  <w:t>6B</w:t>
                </w:r>
                <w:proofErr w:type="spellEnd"/>
                <w:r>
                  <w:t>-4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287CA4" w:rsidP="00292BEF">
                <w:r>
                  <w:t>What is peri</w:t>
                </w:r>
                <w:r w:rsidR="00715447">
                  <w:t>-</w:t>
                </w:r>
                <w:r>
                  <w:t>implantitis?</w:t>
                </w:r>
              </w:p>
            </w:tc>
          </w:sdtContent>
        </w:sdt>
      </w:tr>
      <w:tr w:rsidR="005B248D" w:rsidTr="00292BEF">
        <w:tc>
          <w:tcPr>
            <w:tcW w:w="9576" w:type="dxa"/>
          </w:tcPr>
          <w:p w:rsidR="005B248D" w:rsidRPr="00CA07DB" w:rsidRDefault="005B248D" w:rsidP="00292BEF">
            <w:pPr>
              <w:rPr>
                <w:b/>
              </w:rPr>
            </w:pPr>
            <w:r>
              <w:rPr>
                <w:b/>
              </w:rPr>
              <w:t>Report:</w:t>
            </w:r>
          </w:p>
        </w:tc>
      </w:tr>
      <w:tr w:rsidR="005B248D" w:rsidTr="00292BEF">
        <w:bookmarkStart w:id="0" w:name="_Hlk53353627" w:displacedByCustomXml="next"/>
        <w:sdt>
          <w:sdtPr>
            <w:id w:val="1692803440"/>
            <w:placeholder>
              <w:docPart w:val="9336E9D6F9224F80AC2C705B2AEB9EB2"/>
            </w:placeholder>
          </w:sdtPr>
          <w:sdtEndPr/>
          <w:sdtContent>
            <w:bookmarkEnd w:id="0" w:displacedByCustomXml="prev"/>
            <w:tc>
              <w:tcPr>
                <w:tcW w:w="9576" w:type="dxa"/>
              </w:tcPr>
              <w:p w:rsidR="00573E58" w:rsidRDefault="00573E58" w:rsidP="00573E58">
                <w:pPr>
                  <w:pStyle w:val="NormalWeb"/>
                  <w:spacing w:before="0" w:beforeAutospacing="0" w:after="0" w:afterAutospacing="0"/>
                </w:pPr>
                <w:r>
                  <w:rPr>
                    <w:rFonts w:ascii="Arial" w:hAnsi="Arial" w:cs="Arial"/>
                    <w:color w:val="000000"/>
                    <w:sz w:val="22"/>
                    <w:szCs w:val="22"/>
                  </w:rPr>
                  <w:t>Dental implants are a very common restoration for patients who are partially or fully edentulous. However, some patients may require a bone graft if they do not have sufficient bone height, before undergoing the surgical insertion of the post &amp; abutment for the dental implant. Typically, healing time &amp; osseointegration takes place over the course of several months. </w:t>
                </w:r>
              </w:p>
              <w:p w:rsidR="00573E58" w:rsidRDefault="00573E58" w:rsidP="00573E58"/>
              <w:p w:rsidR="00573E58" w:rsidRDefault="00573E58" w:rsidP="00573E58">
                <w:pPr>
                  <w:pStyle w:val="NormalWeb"/>
                  <w:spacing w:before="0" w:beforeAutospacing="0" w:after="0" w:afterAutospacing="0"/>
                </w:pPr>
                <w:r>
                  <w:rPr>
                    <w:rFonts w:ascii="Arial" w:hAnsi="Arial" w:cs="Arial"/>
                    <w:color w:val="000000"/>
                    <w:sz w:val="22"/>
                    <w:szCs w:val="22"/>
                  </w:rPr>
                  <w:t>In order to ensure a successful outcome for dental implants, it is recommended that patients properly control the risk factors for peri-implantitis, such as periodontal disease, diabetes, smoking, and poor oral hygiene habits. For this reason, it is imperative to note baseline radiographic bone levels in order to monitor patients’ bone levels following implant placement.</w:t>
                </w:r>
              </w:p>
              <w:p w:rsidR="00573E58" w:rsidRDefault="00573E58" w:rsidP="00573E58"/>
              <w:p w:rsidR="00573E58" w:rsidRDefault="00573E58" w:rsidP="00573E58">
                <w:pPr>
                  <w:pStyle w:val="NormalWeb"/>
                  <w:spacing w:before="0" w:beforeAutospacing="0" w:after="0" w:afterAutospacing="0"/>
                </w:pPr>
                <w:r>
                  <w:rPr>
                    <w:rFonts w:ascii="Arial" w:hAnsi="Arial" w:cs="Arial"/>
                    <w:color w:val="000000"/>
                    <w:sz w:val="22"/>
                    <w:szCs w:val="22"/>
                  </w:rPr>
                  <w:t>Typically, healthy gingiva surrounding dental implants lack inflammation (erythema &amp; swelling) &amp; does not bleed upon probing. However, similar to the ability of accumulated biofilm to cause gingivitis &amp; eventual periodontitis, accumulated biofilm can also cause peri-implant mucositis &amp; eventual peri-implantitis. The American Academy of Periodontology defines peri-implant mucositis as “a disease in which the presence of inflammation is confined to the soft tissues surrounding a dental implant with no signs of loss of supporting bone following initial bone remodeling during healing.” The Academy also defines peri-implantitis as “an inflammatory process around an implant, which includes both soft tissue inflammation and progressive loss of supporting bone beyond biological bone remodeling.” </w:t>
                </w:r>
              </w:p>
              <w:p w:rsidR="00573E58" w:rsidRDefault="00573E58" w:rsidP="00573E58"/>
              <w:p w:rsidR="00573E58" w:rsidRDefault="00573E58" w:rsidP="00573E58">
                <w:pPr>
                  <w:pStyle w:val="NormalWeb"/>
                  <w:spacing w:before="0" w:beforeAutospacing="0" w:after="0" w:afterAutospacing="0"/>
                </w:pPr>
                <w:r>
                  <w:rPr>
                    <w:rFonts w:ascii="Arial" w:hAnsi="Arial" w:cs="Arial"/>
                    <w:color w:val="000000"/>
                    <w:sz w:val="22"/>
                    <w:szCs w:val="22"/>
                  </w:rPr>
                  <w:t xml:space="preserve">Clinically, peri-implant mucositis demonstrates inflammation &amp; bleeding upon probing, with no abnormal bone loss. Similarly, peri-implantitis demonstrates the same inflammatory &amp; bleeding signs, but with the addition of reducing bone levels. Normally, natural teeth possess </w:t>
                </w:r>
                <w:proofErr w:type="spellStart"/>
                <w:r>
                  <w:rPr>
                    <w:rFonts w:ascii="Arial" w:hAnsi="Arial" w:cs="Arial"/>
                    <w:color w:val="000000"/>
                    <w:sz w:val="22"/>
                    <w:szCs w:val="22"/>
                  </w:rPr>
                  <w:t>supracrestal</w:t>
                </w:r>
                <w:proofErr w:type="spellEnd"/>
                <w:r>
                  <w:rPr>
                    <w:rFonts w:ascii="Arial" w:hAnsi="Arial" w:cs="Arial"/>
                    <w:color w:val="000000"/>
                    <w:sz w:val="22"/>
                    <w:szCs w:val="22"/>
                  </w:rPr>
                  <w:t xml:space="preserve"> gingival fibers that form a “protective connective tissue capsule” that separates inflammation from the alveolar bone. However, dental implants lack this protective structure, which may explain the increased susceptibility to bone loss following dental implant placement.</w:t>
                </w:r>
              </w:p>
              <w:p w:rsidR="00573E58" w:rsidRDefault="00573E58" w:rsidP="00573E58"/>
              <w:p w:rsidR="00573E58" w:rsidRDefault="00573E58" w:rsidP="00573E58">
                <w:pPr>
                  <w:pStyle w:val="NormalWeb"/>
                  <w:spacing w:before="0" w:beforeAutospacing="0" w:after="0" w:afterAutospacing="0"/>
                </w:pPr>
                <w:r>
                  <w:rPr>
                    <w:rFonts w:ascii="Arial" w:hAnsi="Arial" w:cs="Arial"/>
                    <w:color w:val="000000"/>
                    <w:sz w:val="22"/>
                    <w:szCs w:val="22"/>
                  </w:rPr>
                  <w:t>It has been shown that peri-implant mucositis is reversible with proper oral hygiene &amp; non-surgical periodontal procedures. However, upon progression to peri-implantitis, surgical periodontal intervention is indicated to prevent implant failure.</w:t>
                </w:r>
              </w:p>
              <w:p w:rsidR="00573E58" w:rsidRDefault="00573E58" w:rsidP="00573E58"/>
              <w:p w:rsidR="00573E58" w:rsidRDefault="00573E58" w:rsidP="00573E58">
                <w:pPr>
                  <w:widowControl/>
                  <w:rPr>
                    <w:snapToGrid/>
                  </w:rPr>
                </w:pPr>
                <w:r>
                  <w:rPr>
                    <w:rFonts w:ascii="Arial" w:hAnsi="Arial" w:cs="Arial"/>
                    <w:color w:val="000000"/>
                    <w:sz w:val="22"/>
                    <w:szCs w:val="22"/>
                    <w:bdr w:val="single" w:sz="8" w:space="0" w:color="000000" w:frame="1"/>
                  </w:rPr>
                  <w:lastRenderedPageBreak/>
                  <w:fldChar w:fldCharType="begin"/>
                </w:r>
                <w:r>
                  <w:rPr>
                    <w:rFonts w:ascii="Arial" w:hAnsi="Arial" w:cs="Arial"/>
                    <w:color w:val="000000"/>
                    <w:sz w:val="22"/>
                    <w:szCs w:val="22"/>
                    <w:bdr w:val="single" w:sz="8" w:space="0" w:color="000000" w:frame="1"/>
                  </w:rPr>
                  <w:instrText xml:space="preserve"> INCLUDEPICTURE "https://lh5.googleusercontent.com/eBZZR15njxlef9NtShlfiulMvgyLJxIX08hom22cVBKRaQcfgm_SpHLA69TJ1RwG2SqTCD9eLsoJN7ZdIHkUgEy8H2c7kb1lRuDrPNc7ekTMYa661RV2cyTbPVbeBKTSF_88NPik" \* MERGEFORMATINET </w:instrText>
                </w:r>
                <w:r>
                  <w:rPr>
                    <w:rFonts w:ascii="Arial" w:hAnsi="Arial" w:cs="Arial"/>
                    <w:color w:val="000000"/>
                    <w:sz w:val="22"/>
                    <w:szCs w:val="22"/>
                    <w:bdr w:val="single" w:sz="8" w:space="0" w:color="000000" w:frame="1"/>
                  </w:rPr>
                  <w:fldChar w:fldCharType="separate"/>
                </w:r>
                <w:r>
                  <w:rPr>
                    <w:rFonts w:ascii="Arial" w:hAnsi="Arial" w:cs="Arial"/>
                    <w:noProof/>
                    <w:color w:val="000000"/>
                    <w:sz w:val="22"/>
                    <w:szCs w:val="22"/>
                    <w:bdr w:val="single" w:sz="8" w:space="0" w:color="000000" w:frame="1"/>
                  </w:rPr>
                  <w:drawing>
                    <wp:inline distT="0" distB="0" distL="0" distR="0">
                      <wp:extent cx="3103123" cy="1823416"/>
                      <wp:effectExtent l="0" t="0" r="0" b="5715"/>
                      <wp:docPr id="2" name="Picture 2" descr="https://lh5.googleusercontent.com/eBZZR15njxlef9NtShlfiulMvgyLJxIX08hom22cVBKRaQcfgm_SpHLA69TJ1RwG2SqTCD9eLsoJN7ZdIHkUgEy8H2c7kb1lRuDrPNc7ekTMYa661RV2cyTbPVbeBKTSF_88N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eBZZR15njxlef9NtShlfiulMvgyLJxIX08hom22cVBKRaQcfgm_SpHLA69TJ1RwG2SqTCD9eLsoJN7ZdIHkUgEy8H2c7kb1lRuDrPNc7ekTMYa661RV2cyTbPVbeBKTSF_88NP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639" cy="1828420"/>
                              </a:xfrm>
                              <a:prstGeom prst="rect">
                                <a:avLst/>
                              </a:prstGeom>
                              <a:noFill/>
                              <a:ln>
                                <a:noFill/>
                              </a:ln>
                            </pic:spPr>
                          </pic:pic>
                        </a:graphicData>
                      </a:graphic>
                    </wp:inline>
                  </w:drawing>
                </w:r>
                <w:r>
                  <w:rPr>
                    <w:rFonts w:ascii="Arial" w:hAnsi="Arial" w:cs="Arial"/>
                    <w:color w:val="000000"/>
                    <w:sz w:val="22"/>
                    <w:szCs w:val="22"/>
                    <w:bdr w:val="single" w:sz="8" w:space="0" w:color="000000" w:frame="1"/>
                  </w:rPr>
                  <w:fldChar w:fldCharType="end"/>
                </w:r>
              </w:p>
              <w:p w:rsidR="005B248D" w:rsidRDefault="005B248D" w:rsidP="00573E58">
                <w:pPr>
                  <w:pStyle w:val="NormalWeb"/>
                  <w:spacing w:before="0" w:beforeAutospacing="0" w:after="0" w:afterAutospacing="0"/>
                </w:pPr>
              </w:p>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rPr>
              <w:snapToGrid w:val="0"/>
              <w:szCs w:val="20"/>
              <w:lang w:eastAsia="en-US"/>
            </w:rPr>
          </w:sdtEndPr>
          <w:sdtContent>
            <w:tc>
              <w:tcPr>
                <w:tcW w:w="9576" w:type="dxa"/>
              </w:tcPr>
              <w:p w:rsidR="00881580" w:rsidRDefault="00881580" w:rsidP="00881580">
                <w:pPr>
                  <w:pStyle w:val="NormalWeb"/>
                  <w:spacing w:before="0" w:beforeAutospacing="0" w:after="0" w:afterAutospacing="0"/>
                </w:pPr>
                <w:r>
                  <w:rPr>
                    <w:rFonts w:ascii="Arial" w:hAnsi="Arial" w:cs="Arial"/>
                    <w:i/>
                    <w:iCs/>
                    <w:color w:val="000000"/>
                    <w:sz w:val="22"/>
                    <w:szCs w:val="22"/>
                  </w:rPr>
                  <w:t>1. Rosen. 2013. Academy Report: Peri</w:t>
                </w:r>
                <w:r>
                  <w:rPr>
                    <w:rFonts w:ascii="Cambria Math" w:hAnsi="Cambria Math" w:cs="Cambria Math"/>
                    <w:i/>
                    <w:iCs/>
                    <w:color w:val="000000"/>
                    <w:sz w:val="22"/>
                    <w:szCs w:val="22"/>
                  </w:rPr>
                  <w:t>‐</w:t>
                </w:r>
                <w:r>
                  <w:rPr>
                    <w:rFonts w:ascii="Arial" w:hAnsi="Arial" w:cs="Arial"/>
                    <w:i/>
                    <w:iCs/>
                    <w:color w:val="000000"/>
                    <w:sz w:val="22"/>
                    <w:szCs w:val="22"/>
                  </w:rPr>
                  <w:t>Implant Mucositis and Peri</w:t>
                </w:r>
                <w:r>
                  <w:rPr>
                    <w:rFonts w:ascii="Cambria Math" w:hAnsi="Cambria Math" w:cs="Cambria Math"/>
                    <w:i/>
                    <w:iCs/>
                    <w:color w:val="000000"/>
                    <w:sz w:val="22"/>
                    <w:szCs w:val="22"/>
                  </w:rPr>
                  <w:t>‐</w:t>
                </w:r>
                <w:r>
                  <w:rPr>
                    <w:rFonts w:ascii="Arial" w:hAnsi="Arial" w:cs="Arial"/>
                    <w:i/>
                    <w:iCs/>
                    <w:color w:val="000000"/>
                    <w:sz w:val="22"/>
                    <w:szCs w:val="22"/>
                  </w:rPr>
                  <w:t>Implantitis: A Current Understanding of Their Diagnoses and Clinical Implications. Journal of Periodontology. 84(4):436-443</w:t>
                </w:r>
              </w:p>
              <w:p w:rsidR="00881580" w:rsidRDefault="00881580" w:rsidP="00881580"/>
              <w:p w:rsidR="00881580" w:rsidRDefault="00881580" w:rsidP="00881580">
                <w:pPr>
                  <w:pStyle w:val="NormalWeb"/>
                  <w:spacing w:before="0" w:beforeAutospacing="0" w:after="0" w:afterAutospacing="0"/>
                </w:pPr>
                <w:r>
                  <w:rPr>
                    <w:rFonts w:ascii="Arial" w:hAnsi="Arial" w:cs="Arial"/>
                    <w:i/>
                    <w:iCs/>
                    <w:color w:val="000000"/>
                    <w:sz w:val="22"/>
                    <w:szCs w:val="22"/>
                  </w:rPr>
                  <w:t xml:space="preserve">2. Peri-Implant Diseases. European Federation of Periodontology [Internet]. [Cited 2020, Oct 11]. Available from </w:t>
                </w:r>
                <w:hyperlink r:id="rId11" w:history="1">
                  <w:r>
                    <w:rPr>
                      <w:rStyle w:val="Hyperlink"/>
                      <w:rFonts w:ascii="Arial" w:hAnsi="Arial" w:cs="Arial"/>
                      <w:i/>
                      <w:iCs/>
                      <w:color w:val="1155CC"/>
                      <w:sz w:val="22"/>
                      <w:szCs w:val="22"/>
                    </w:rPr>
                    <w:t>https://www.efp.org/dental-implants/peri-implant-diseases/</w:t>
                  </w:r>
                </w:hyperlink>
              </w:p>
              <w:p w:rsidR="005B248D" w:rsidRDefault="00881580" w:rsidP="00292BEF">
                <w:r>
                  <w:br/>
                </w:r>
                <w:r>
                  <w:rPr>
                    <w:rFonts w:ascii="Arial" w:hAnsi="Arial" w:cs="Arial"/>
                    <w:i/>
                    <w:iCs/>
                    <w:color w:val="000000"/>
                    <w:sz w:val="22"/>
                    <w:szCs w:val="22"/>
                  </w:rPr>
                  <w:t xml:space="preserve">3. Peri-Implant Diseases. American Academy of Periodontology [Internet]. [Cited 2020, Oct 11]. Available from </w:t>
                </w:r>
                <w:hyperlink r:id="rId12" w:history="1">
                  <w:r>
                    <w:rPr>
                      <w:rStyle w:val="Hyperlink"/>
                      <w:rFonts w:ascii="Arial" w:hAnsi="Arial" w:cs="Arial"/>
                      <w:i/>
                      <w:iCs/>
                      <w:color w:val="1155CC"/>
                      <w:sz w:val="22"/>
                      <w:szCs w:val="22"/>
                    </w:rPr>
                    <w:t>https://www.perio.org/consumer/peri-implant-disease</w:t>
                  </w:r>
                </w:hyperlink>
              </w:p>
            </w:tc>
            <w:bookmarkStart w:id="1" w:name="_GoBack" w:displacedByCustomXml="next"/>
            <w:bookmarkEnd w:id="1" w:displacedByCustomXml="next"/>
          </w:sdtContent>
        </w:sdt>
      </w:tr>
    </w:tbl>
    <w:p w:rsidR="00DF1FAB" w:rsidRPr="00292BEF" w:rsidRDefault="00DF1FAB" w:rsidP="00292BEF"/>
    <w:sectPr w:rsidR="00DF1FAB" w:rsidRPr="00292BEF" w:rsidSect="00C42AE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138" w:rsidRDefault="00836138" w:rsidP="00292BEF">
      <w:r>
        <w:separator/>
      </w:r>
    </w:p>
  </w:endnote>
  <w:endnote w:type="continuationSeparator" w:id="0">
    <w:p w:rsidR="00836138" w:rsidRDefault="0083613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138" w:rsidRDefault="00836138" w:rsidP="00292BEF">
      <w:r>
        <w:separator/>
      </w:r>
    </w:p>
  </w:footnote>
  <w:footnote w:type="continuationSeparator" w:id="0">
    <w:p w:rsidR="00836138" w:rsidRDefault="0083613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81250"/>
    <w:rsid w:val="00187B59"/>
    <w:rsid w:val="001F6624"/>
    <w:rsid w:val="002223D1"/>
    <w:rsid w:val="00246C4B"/>
    <w:rsid w:val="00287CA4"/>
    <w:rsid w:val="00292BEF"/>
    <w:rsid w:val="00306D6B"/>
    <w:rsid w:val="0047463E"/>
    <w:rsid w:val="004C6910"/>
    <w:rsid w:val="00573E58"/>
    <w:rsid w:val="005B248D"/>
    <w:rsid w:val="00643A99"/>
    <w:rsid w:val="00715447"/>
    <w:rsid w:val="00724A7B"/>
    <w:rsid w:val="0074173A"/>
    <w:rsid w:val="007B6610"/>
    <w:rsid w:val="00836138"/>
    <w:rsid w:val="00881580"/>
    <w:rsid w:val="00967977"/>
    <w:rsid w:val="009A073A"/>
    <w:rsid w:val="009F7390"/>
    <w:rsid w:val="00A16E88"/>
    <w:rsid w:val="00B50056"/>
    <w:rsid w:val="00C0058A"/>
    <w:rsid w:val="00C42AED"/>
    <w:rsid w:val="00C90ED3"/>
    <w:rsid w:val="00CA07DB"/>
    <w:rsid w:val="00DE7389"/>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EB5B"/>
  <w15:docId w15:val="{6ACAF9D2-C281-8B45-99ED-1900D54C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A16E88"/>
    <w:pPr>
      <w:widowControl/>
      <w:spacing w:before="100" w:beforeAutospacing="1" w:after="100" w:afterAutospacing="1"/>
    </w:pPr>
    <w:rPr>
      <w:snapToGrid/>
      <w:szCs w:val="24"/>
      <w:lang w:eastAsia="zh-CN"/>
    </w:rPr>
  </w:style>
  <w:style w:type="character" w:styleId="Hyperlink">
    <w:name w:val="Hyperlink"/>
    <w:basedOn w:val="DefaultParagraphFont"/>
    <w:uiPriority w:val="99"/>
    <w:semiHidden/>
    <w:unhideWhenUsed/>
    <w:locked/>
    <w:rsid w:val="00881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950">
      <w:bodyDiv w:val="1"/>
      <w:marLeft w:val="0"/>
      <w:marRight w:val="0"/>
      <w:marTop w:val="0"/>
      <w:marBottom w:val="0"/>
      <w:divBdr>
        <w:top w:val="none" w:sz="0" w:space="0" w:color="auto"/>
        <w:left w:val="none" w:sz="0" w:space="0" w:color="auto"/>
        <w:bottom w:val="none" w:sz="0" w:space="0" w:color="auto"/>
        <w:right w:val="none" w:sz="0" w:space="0" w:color="auto"/>
      </w:divBdr>
    </w:div>
    <w:div w:id="161044418">
      <w:bodyDiv w:val="1"/>
      <w:marLeft w:val="0"/>
      <w:marRight w:val="0"/>
      <w:marTop w:val="0"/>
      <w:marBottom w:val="0"/>
      <w:divBdr>
        <w:top w:val="none" w:sz="0" w:space="0" w:color="auto"/>
        <w:left w:val="none" w:sz="0" w:space="0" w:color="auto"/>
        <w:bottom w:val="none" w:sz="0" w:space="0" w:color="auto"/>
        <w:right w:val="none" w:sz="0" w:space="0" w:color="auto"/>
      </w:divBdr>
    </w:div>
    <w:div w:id="426272625">
      <w:bodyDiv w:val="1"/>
      <w:marLeft w:val="0"/>
      <w:marRight w:val="0"/>
      <w:marTop w:val="0"/>
      <w:marBottom w:val="0"/>
      <w:divBdr>
        <w:top w:val="none" w:sz="0" w:space="0" w:color="auto"/>
        <w:left w:val="none" w:sz="0" w:space="0" w:color="auto"/>
        <w:bottom w:val="none" w:sz="0" w:space="0" w:color="auto"/>
        <w:right w:val="none" w:sz="0" w:space="0" w:color="auto"/>
      </w:divBdr>
    </w:div>
    <w:div w:id="969632283">
      <w:bodyDiv w:val="1"/>
      <w:marLeft w:val="0"/>
      <w:marRight w:val="0"/>
      <w:marTop w:val="0"/>
      <w:marBottom w:val="0"/>
      <w:divBdr>
        <w:top w:val="none" w:sz="0" w:space="0" w:color="auto"/>
        <w:left w:val="none" w:sz="0" w:space="0" w:color="auto"/>
        <w:bottom w:val="none" w:sz="0" w:space="0" w:color="auto"/>
        <w:right w:val="none" w:sz="0" w:space="0" w:color="auto"/>
      </w:divBdr>
    </w:div>
    <w:div w:id="1262839494">
      <w:bodyDiv w:val="1"/>
      <w:marLeft w:val="0"/>
      <w:marRight w:val="0"/>
      <w:marTop w:val="0"/>
      <w:marBottom w:val="0"/>
      <w:divBdr>
        <w:top w:val="none" w:sz="0" w:space="0" w:color="auto"/>
        <w:left w:val="none" w:sz="0" w:space="0" w:color="auto"/>
        <w:bottom w:val="none" w:sz="0" w:space="0" w:color="auto"/>
        <w:right w:val="none" w:sz="0" w:space="0" w:color="auto"/>
      </w:divBdr>
    </w:div>
    <w:div w:id="1307467800">
      <w:bodyDiv w:val="1"/>
      <w:marLeft w:val="0"/>
      <w:marRight w:val="0"/>
      <w:marTop w:val="0"/>
      <w:marBottom w:val="0"/>
      <w:divBdr>
        <w:top w:val="none" w:sz="0" w:space="0" w:color="auto"/>
        <w:left w:val="none" w:sz="0" w:space="0" w:color="auto"/>
        <w:bottom w:val="none" w:sz="0" w:space="0" w:color="auto"/>
        <w:right w:val="none" w:sz="0" w:space="0" w:color="auto"/>
      </w:divBdr>
    </w:div>
    <w:div w:id="1771050703">
      <w:bodyDiv w:val="1"/>
      <w:marLeft w:val="0"/>
      <w:marRight w:val="0"/>
      <w:marTop w:val="0"/>
      <w:marBottom w:val="0"/>
      <w:divBdr>
        <w:top w:val="none" w:sz="0" w:space="0" w:color="auto"/>
        <w:left w:val="none" w:sz="0" w:space="0" w:color="auto"/>
        <w:bottom w:val="none" w:sz="0" w:space="0" w:color="auto"/>
        <w:right w:val="none" w:sz="0" w:space="0" w:color="auto"/>
      </w:divBdr>
    </w:div>
    <w:div w:id="1803182835">
      <w:bodyDiv w:val="1"/>
      <w:marLeft w:val="0"/>
      <w:marRight w:val="0"/>
      <w:marTop w:val="0"/>
      <w:marBottom w:val="0"/>
      <w:divBdr>
        <w:top w:val="none" w:sz="0" w:space="0" w:color="auto"/>
        <w:left w:val="none" w:sz="0" w:space="0" w:color="auto"/>
        <w:bottom w:val="none" w:sz="0" w:space="0" w:color="auto"/>
        <w:right w:val="none" w:sz="0" w:space="0" w:color="auto"/>
      </w:divBdr>
    </w:div>
    <w:div w:id="1867795036">
      <w:bodyDiv w:val="1"/>
      <w:marLeft w:val="0"/>
      <w:marRight w:val="0"/>
      <w:marTop w:val="0"/>
      <w:marBottom w:val="0"/>
      <w:divBdr>
        <w:top w:val="none" w:sz="0" w:space="0" w:color="auto"/>
        <w:left w:val="none" w:sz="0" w:space="0" w:color="auto"/>
        <w:bottom w:val="none" w:sz="0" w:space="0" w:color="auto"/>
        <w:right w:val="none" w:sz="0" w:space="0" w:color="auto"/>
      </w:divBdr>
    </w:div>
    <w:div w:id="19911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rio.org/consumer/peri-implant-dise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p.org/dental-implants/peri-implant-disease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86DA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86DA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86DA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86DA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86DAD"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72853"/>
    <w:rsid w:val="002F217F"/>
    <w:rsid w:val="00304329"/>
    <w:rsid w:val="0047423F"/>
    <w:rsid w:val="004F0F24"/>
    <w:rsid w:val="00586DAD"/>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Deng, Hanfrey</cp:lastModifiedBy>
  <cp:revision>13</cp:revision>
  <dcterms:created xsi:type="dcterms:W3CDTF">2011-08-30T13:28:00Z</dcterms:created>
  <dcterms:modified xsi:type="dcterms:W3CDTF">2020-10-12T05:08:00Z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