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54416D" w:rsidP="00875E38">
                <w:r>
                  <w:t>Margaret Miller</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54416D" w:rsidP="009F7390">
                <w:r>
                  <w:t>2B-5</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54416D" w:rsidP="00292BEF">
                <w:r w:rsidRPr="00440D37">
                  <w:t>How does post placement affect fracture resistance?</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0B3959" w:rsidRDefault="0042018B" w:rsidP="0042018B">
                <w:pPr>
                  <w:ind w:firstLine="720"/>
                </w:pPr>
                <w:r>
                  <w:t xml:space="preserve">A vital, </w:t>
                </w:r>
                <w:r w:rsidR="00CC0EE8">
                  <w:t>healthy, complete</w:t>
                </w:r>
                <w:r>
                  <w:t xml:space="preserve"> tooth is </w:t>
                </w:r>
                <w:proofErr w:type="gramStart"/>
                <w:r>
                  <w:t>strongest</w:t>
                </w:r>
                <w:proofErr w:type="gramEnd"/>
                <w:r>
                  <w:t xml:space="preserve"> and resists fracture much better than a tooth that would be indicated for endodontic treatment. </w:t>
                </w:r>
                <w:r w:rsidR="00701980">
                  <w:t>Non-vital teeth require endodontic treatment in order to maintain and preserve remaining tooth structure</w:t>
                </w:r>
                <w:r w:rsidR="00CC0EE8">
                  <w:t xml:space="preserve"> and viability</w:t>
                </w:r>
                <w:r w:rsidR="00701980">
                  <w:t xml:space="preserve">. </w:t>
                </w:r>
                <w:r w:rsidR="00CC0EE8">
                  <w:t>At this point, t</w:t>
                </w:r>
                <w:r w:rsidR="00F33D3E">
                  <w:t xml:space="preserve">he tooth has lost mechanical responsiveness and </w:t>
                </w:r>
                <w:proofErr w:type="spellStart"/>
                <w:r w:rsidR="00F33D3E">
                  <w:t>prioprioceptive</w:t>
                </w:r>
                <w:proofErr w:type="spellEnd"/>
                <w:r w:rsidR="00F33D3E">
                  <w:t xml:space="preserve"> sensitivity. This lack of sensation leads to less discomfort </w:t>
                </w:r>
                <w:r w:rsidR="00CC0EE8">
                  <w:t xml:space="preserve">and </w:t>
                </w:r>
                <w:r w:rsidR="00F33D3E">
                  <w:t>indication</w:t>
                </w:r>
                <w:r w:rsidR="00CC0EE8">
                  <w:t>s</w:t>
                </w:r>
                <w:r w:rsidR="00F33D3E">
                  <w:t xml:space="preserve"> of pain or pressure </w:t>
                </w:r>
                <w:r w:rsidR="00CC0EE8">
                  <w:t>which</w:t>
                </w:r>
                <w:r w:rsidR="00F33D3E">
                  <w:t xml:space="preserve"> </w:t>
                </w:r>
                <w:r w:rsidR="00CC0EE8">
                  <w:t>are</w:t>
                </w:r>
                <w:r w:rsidR="00F33D3E">
                  <w:t xml:space="preserve"> beneficial in warning of increasing occlusal load that could harm the tooth if not stopped. </w:t>
                </w:r>
                <w:r>
                  <w:t xml:space="preserve">From the </w:t>
                </w:r>
                <w:r w:rsidR="002E4398">
                  <w:t xml:space="preserve">preparation to the restoration with a post and core, many factors cause the tooth to become weaker and thus more susceptible to fracture. </w:t>
                </w:r>
                <w:r w:rsidR="00701980">
                  <w:t xml:space="preserve">When a tooth loses vitality, it undergoes many changes to the structure that lead to susceptibility to fracture. First, the collagen binding is incomplete and there is a weakening of the collagen fibers due to dentinal dehydration. </w:t>
                </w:r>
                <w:r w:rsidR="00CC0EE8">
                  <w:t xml:space="preserve">Dentin needs to be hydrated and collagen bound to prevent from collapse. </w:t>
                </w:r>
                <w:r w:rsidR="00701980">
                  <w:t xml:space="preserve">Hard dentin structure is </w:t>
                </w:r>
                <w:r w:rsidR="00CC0EE8">
                  <w:t xml:space="preserve">also </w:t>
                </w:r>
                <w:r w:rsidR="00701980">
                  <w:t>lost from caries, prior cavity preparations</w:t>
                </w:r>
                <w:r w:rsidR="00CC0EE8">
                  <w:t xml:space="preserve">, </w:t>
                </w:r>
                <w:r w:rsidR="00701980">
                  <w:t xml:space="preserve">endodontic therapy, </w:t>
                </w:r>
                <w:r w:rsidR="00CC0EE8">
                  <w:t>or</w:t>
                </w:r>
                <w:r w:rsidR="00701980">
                  <w:t xml:space="preserve"> other lesions that have affected the tooth over time. </w:t>
                </w:r>
                <w:r w:rsidR="008C7607">
                  <w:t xml:space="preserve">In </w:t>
                </w:r>
                <w:r w:rsidR="00CC0EE8">
                  <w:t>access preparations during</w:t>
                </w:r>
                <w:r w:rsidR="008C7607">
                  <w:t xml:space="preserve"> endodontic treatment, the roof of the pulp chamber as well as surrounding structure are removed, chemicals are added to the preparation, and canals are enlarged, all leading to reduced strength and increase flexure</w:t>
                </w:r>
                <w:r w:rsidR="00F33D3E">
                  <w:t xml:space="preserve"> </w:t>
                </w:r>
                <w:r w:rsidR="008C7607">
                  <w:t>(</w:t>
                </w:r>
                <w:proofErr w:type="spellStart"/>
                <w:r w:rsidR="008C7607">
                  <w:t>Dimitriu</w:t>
                </w:r>
                <w:proofErr w:type="spellEnd"/>
                <w:r w:rsidR="008C7607">
                  <w:t xml:space="preserve"> et al., 2009). </w:t>
                </w:r>
              </w:p>
              <w:p w:rsidR="005B248D" w:rsidRDefault="000B3959" w:rsidP="00292BEF">
                <w:r>
                  <w:tab/>
                </w:r>
                <w:r w:rsidR="00DB7C2D">
                  <w:t xml:space="preserve">The optimal post would retain the core without creating excess </w:t>
                </w:r>
                <w:r w:rsidR="0042018B">
                  <w:t xml:space="preserve">or undue </w:t>
                </w:r>
                <w:r w:rsidR="00DB7C2D">
                  <w:t>stress on the surrounding</w:t>
                </w:r>
                <w:r w:rsidR="0042018B">
                  <w:t>, remaining</w:t>
                </w:r>
                <w:r w:rsidR="00DB7C2D">
                  <w:t xml:space="preserve"> tooth structure. This is not always achieved, and problems can occur from stresses on the tooth in the crown or the root (Alharbi eta l., 2014). When preparing the tooth for the placement of a post, loss of dentinal structure may lead to the formation o</w:t>
                </w:r>
                <w:r w:rsidR="00CC0EE8">
                  <w:t>f</w:t>
                </w:r>
                <w:r w:rsidR="00DB7C2D">
                  <w:t xml:space="preserve"> </w:t>
                </w:r>
                <w:proofErr w:type="spellStart"/>
                <w:r w:rsidR="00DB7C2D">
                  <w:t>microfissures</w:t>
                </w:r>
                <w:proofErr w:type="spellEnd"/>
                <w:r w:rsidR="00DB7C2D">
                  <w:t xml:space="preserve"> and microcracks which can confer fracture </w:t>
                </w:r>
                <w:r w:rsidR="00CC0EE8">
                  <w:t>propagation</w:t>
                </w:r>
                <w:r w:rsidR="00DB7C2D">
                  <w:t xml:space="preserve">. </w:t>
                </w:r>
                <w:r w:rsidR="002E4398">
                  <w:t xml:space="preserve">While the post may promote retention </w:t>
                </w:r>
                <w:r w:rsidR="000A3E6C">
                  <w:t>of</w:t>
                </w:r>
                <w:r w:rsidR="002E4398">
                  <w:t xml:space="preserve"> the restoration and distribute occlusal stresses, </w:t>
                </w:r>
                <w:r w:rsidR="000A3E6C">
                  <w:t>there are times when this is not</w:t>
                </w:r>
                <w:r w:rsidR="002E4398">
                  <w:t xml:space="preserve"> achieve</w:t>
                </w:r>
                <w:r w:rsidR="000A3E6C">
                  <w:t>d</w:t>
                </w:r>
                <w:r w:rsidR="002E4398">
                  <w:t xml:space="preserve">. </w:t>
                </w:r>
                <w:r w:rsidR="000A3E6C">
                  <w:t xml:space="preserve">As the crown and core are connected to the post, the stresses and forces placed coronally must be considered. </w:t>
                </w:r>
                <w:r w:rsidR="00DB7C2D">
                  <w:t xml:space="preserve">The crown transfers </w:t>
                </w:r>
                <w:r w:rsidR="000A3E6C">
                  <w:t xml:space="preserve">compressive and shear </w:t>
                </w:r>
                <w:r w:rsidR="00DB7C2D">
                  <w:t xml:space="preserve">stress </w:t>
                </w:r>
                <w:r w:rsidR="000A3E6C">
                  <w:t xml:space="preserve">away from the crown and </w:t>
                </w:r>
                <w:r w:rsidR="00DB7C2D">
                  <w:t>down to the roots</w:t>
                </w:r>
                <w:r w:rsidR="002E4398">
                  <w:t xml:space="preserve"> (Fei </w:t>
                </w:r>
                <w:proofErr w:type="spellStart"/>
                <w:r w:rsidR="002E4398">
                  <w:t>etal</w:t>
                </w:r>
                <w:proofErr w:type="spellEnd"/>
                <w:r w:rsidR="002E4398">
                  <w:t>., 2018)</w:t>
                </w:r>
                <w:r w:rsidR="00DB7C2D">
                  <w:t xml:space="preserve">. </w:t>
                </w:r>
                <w:r w:rsidR="002E4398">
                  <w:t xml:space="preserve">Anchoring a core and crown inside the canal does not strengthen the remaining dentin, and </w:t>
                </w:r>
                <w:r w:rsidR="000A3E6C">
                  <w:t>a rigid post will only increase stress. Crown movement will result in more stress on the root, which already has decreased remaining structure (</w:t>
                </w:r>
                <w:proofErr w:type="spellStart"/>
                <w:r w:rsidR="000A3E6C">
                  <w:t>Marchionatti</w:t>
                </w:r>
                <w:proofErr w:type="spellEnd"/>
                <w:r w:rsidR="000A3E6C">
                  <w:t xml:space="preserve"> et al., 201</w:t>
                </w:r>
                <w:bookmarkStart w:id="0" w:name="_GoBack"/>
                <w:bookmarkEnd w:id="0"/>
                <w:r w:rsidR="000A3E6C">
                  <w:t>7).</w:t>
                </w:r>
                <w:r w:rsidR="002E4398">
                  <w:t xml:space="preserve"> </w:t>
                </w:r>
                <w:r w:rsidR="000A3E6C">
                  <w:t>There are many aspects of the post, core</w:t>
                </w:r>
                <w:r w:rsidR="00CC0EE8">
                  <w:t>,</w:t>
                </w:r>
                <w:r w:rsidR="000A3E6C">
                  <w:t xml:space="preserve"> and crown that can contribute to greater or less success of the endodontic treatment. The </w:t>
                </w:r>
                <w:r w:rsidR="00DB7C2D">
                  <w:t xml:space="preserve">factors </w:t>
                </w:r>
                <w:r w:rsidR="000A3E6C">
                  <w:t xml:space="preserve">mentioned may work synergistically to </w:t>
                </w:r>
                <w:r w:rsidR="00DB7C2D">
                  <w:t>decrease the survival rate of endodontically restored teeth</w:t>
                </w:r>
                <w:r w:rsidR="000A3E6C">
                  <w:t xml:space="preserve">, </w:t>
                </w:r>
                <w:r w:rsidR="00CC0EE8">
                  <w:t xml:space="preserve">with </w:t>
                </w:r>
                <w:r w:rsidR="000A3E6C">
                  <w:t xml:space="preserve">fracture being a common </w:t>
                </w:r>
                <w:r w:rsidR="007E090B">
                  <w:t>source</w:t>
                </w:r>
                <w:r w:rsidR="000A3E6C">
                  <w:t xml:space="preserve"> of failure</w:t>
                </w:r>
                <w:r w:rsidR="00DB7C2D">
                  <w:t xml:space="preserve">. </w:t>
                </w:r>
              </w:p>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rPr>
              <w:rFonts w:ascii="Times New Roman" w:hAnsi="Times New Roman" w:cs="Times New Roman"/>
              <w:snapToGrid w:val="0"/>
              <w:sz w:val="24"/>
            </w:rPr>
            <w:id w:val="-185608296"/>
            <w:placeholder>
              <w:docPart w:val="01EE0CA9C12F4469953EF8B58FF95299"/>
            </w:placeholder>
          </w:sdtPr>
          <w:sdtEndPr>
            <w:rPr>
              <w:rFonts w:ascii="Courier New" w:hAnsi="Courier New" w:cs="Courier New"/>
              <w:snapToGrid/>
              <w:sz w:val="20"/>
            </w:rPr>
          </w:sdtEndPr>
          <w:sdtContent>
            <w:tc>
              <w:tcPr>
                <w:tcW w:w="9576" w:type="dxa"/>
              </w:tcPr>
              <w:p w:rsidR="00DB7C2D" w:rsidRPr="00A91371" w:rsidRDefault="00DB7C2D" w:rsidP="00DB7C2D">
                <w:pPr>
                  <w:pStyle w:val="HTMLPreformatted"/>
                  <w:shd w:val="clear" w:color="auto" w:fill="FFFFFF"/>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Alharbi, F. A., Nathanson, D., </w:t>
                </w:r>
                <w:proofErr w:type="spellStart"/>
                <w:r w:rsidRPr="00A91371">
                  <w:rPr>
                    <w:rFonts w:ascii="Times New Roman" w:hAnsi="Times New Roman" w:cs="Times New Roman"/>
                    <w:color w:val="000000"/>
                    <w:sz w:val="21"/>
                    <w:szCs w:val="21"/>
                  </w:rPr>
                  <w:t>Morgano</w:t>
                </w:r>
                <w:proofErr w:type="spellEnd"/>
                <w:r w:rsidRPr="00A91371">
                  <w:rPr>
                    <w:rFonts w:ascii="Times New Roman" w:hAnsi="Times New Roman" w:cs="Times New Roman"/>
                    <w:color w:val="000000"/>
                    <w:sz w:val="21"/>
                    <w:szCs w:val="21"/>
                  </w:rPr>
                  <w:t xml:space="preserve">, S. M., &amp; Baba, N. Z. (2014). Fracture resistance and failure </w:t>
                </w:r>
              </w:p>
              <w:p w:rsidR="00DB7C2D" w:rsidRPr="00A91371" w:rsidRDefault="00DB7C2D" w:rsidP="00DB7C2D">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mode of fatigued endodontically treated teeth restored with fiber-reinforced resin posts and </w:t>
                </w:r>
              </w:p>
              <w:p w:rsidR="00DB7C2D" w:rsidRPr="00DB7C2D" w:rsidRDefault="00DB7C2D" w:rsidP="00DB7C2D">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metallic posts in vitro. </w:t>
                </w:r>
                <w:r w:rsidRPr="00A91371">
                  <w:rPr>
                    <w:rFonts w:ascii="Times New Roman" w:hAnsi="Times New Roman" w:cs="Times New Roman"/>
                    <w:i/>
                    <w:iCs/>
                    <w:color w:val="000000"/>
                    <w:sz w:val="21"/>
                    <w:szCs w:val="21"/>
                  </w:rPr>
                  <w:t>Dental Traumatology</w:t>
                </w:r>
                <w:r w:rsidRPr="00A91371">
                  <w:rPr>
                    <w:rFonts w:ascii="Times New Roman" w:hAnsi="Times New Roman" w:cs="Times New Roman"/>
                    <w:color w:val="000000"/>
                    <w:sz w:val="21"/>
                    <w:szCs w:val="21"/>
                  </w:rPr>
                  <w:t xml:space="preserve">, </w:t>
                </w:r>
                <w:r w:rsidRPr="00A91371">
                  <w:rPr>
                    <w:rFonts w:ascii="Times New Roman" w:hAnsi="Times New Roman" w:cs="Times New Roman"/>
                    <w:i/>
                    <w:iCs/>
                    <w:color w:val="000000"/>
                    <w:sz w:val="21"/>
                    <w:szCs w:val="21"/>
                  </w:rPr>
                  <w:t>30</w:t>
                </w:r>
                <w:r w:rsidRPr="00A91371">
                  <w:rPr>
                    <w:rFonts w:ascii="Times New Roman" w:hAnsi="Times New Roman" w:cs="Times New Roman"/>
                    <w:color w:val="000000"/>
                    <w:sz w:val="21"/>
                    <w:szCs w:val="21"/>
                  </w:rPr>
                  <w:t xml:space="preserve">(4). </w:t>
                </w:r>
              </w:p>
              <w:p w:rsidR="008C7607" w:rsidRPr="00A91371" w:rsidRDefault="008C7607" w:rsidP="008C7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sz w:val="21"/>
                    <w:szCs w:val="21"/>
                  </w:rPr>
                </w:pPr>
                <w:proofErr w:type="spellStart"/>
                <w:r w:rsidRPr="00A91371">
                  <w:rPr>
                    <w:color w:val="000000"/>
                    <w:sz w:val="21"/>
                    <w:szCs w:val="21"/>
                  </w:rPr>
                  <w:t>Dimitriu</w:t>
                </w:r>
                <w:proofErr w:type="spellEnd"/>
                <w:r w:rsidRPr="00A91371">
                  <w:rPr>
                    <w:color w:val="000000"/>
                    <w:sz w:val="21"/>
                    <w:szCs w:val="21"/>
                  </w:rPr>
                  <w:t xml:space="preserve">, B., </w:t>
                </w:r>
                <w:proofErr w:type="spellStart"/>
                <w:r w:rsidRPr="00A91371">
                  <w:rPr>
                    <w:color w:val="000000"/>
                    <w:sz w:val="21"/>
                    <w:szCs w:val="21"/>
                  </w:rPr>
                  <w:t>Varlan</w:t>
                </w:r>
                <w:proofErr w:type="spellEnd"/>
                <w:r w:rsidRPr="00A91371">
                  <w:rPr>
                    <w:color w:val="000000"/>
                    <w:sz w:val="21"/>
                    <w:szCs w:val="21"/>
                  </w:rPr>
                  <w:t xml:space="preserve">, C., Suciu, I., </w:t>
                </w:r>
                <w:proofErr w:type="spellStart"/>
                <w:r w:rsidRPr="00A91371">
                  <w:rPr>
                    <w:color w:val="000000"/>
                    <w:sz w:val="21"/>
                    <w:szCs w:val="21"/>
                  </w:rPr>
                  <w:t>Varlan</w:t>
                </w:r>
                <w:proofErr w:type="spellEnd"/>
                <w:r w:rsidRPr="00A91371">
                  <w:rPr>
                    <w:color w:val="000000"/>
                    <w:sz w:val="21"/>
                    <w:szCs w:val="21"/>
                  </w:rPr>
                  <w:t xml:space="preserve">, V., &amp; Bodnar, D. (2009). Current considerations </w:t>
                </w:r>
              </w:p>
              <w:p w:rsidR="008C7607" w:rsidRPr="00A91371" w:rsidRDefault="008C7607" w:rsidP="008C7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sz w:val="21"/>
                    <w:szCs w:val="21"/>
                  </w:rPr>
                </w:pPr>
                <w:r w:rsidRPr="00A91371">
                  <w:rPr>
                    <w:color w:val="000000"/>
                    <w:sz w:val="21"/>
                    <w:szCs w:val="21"/>
                  </w:rPr>
                  <w:t xml:space="preserve">     concerning endodontically treated teeth: alteration of hard dentinal tissues and biomechanically </w:t>
                </w:r>
              </w:p>
              <w:p w:rsidR="008C7607" w:rsidRDefault="008C7607" w:rsidP="008C7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sz w:val="21"/>
                    <w:szCs w:val="21"/>
                  </w:rPr>
                </w:pPr>
                <w:r w:rsidRPr="00A91371">
                  <w:rPr>
                    <w:color w:val="000000"/>
                    <w:sz w:val="21"/>
                    <w:szCs w:val="21"/>
                  </w:rPr>
                  <w:t xml:space="preserve">     properties following endodontic therapy. </w:t>
                </w:r>
                <w:r w:rsidRPr="00A91371">
                  <w:rPr>
                    <w:i/>
                    <w:iCs/>
                    <w:color w:val="000000"/>
                    <w:sz w:val="21"/>
                    <w:szCs w:val="21"/>
                  </w:rPr>
                  <w:t>Journal of Medicine and Life</w:t>
                </w:r>
                <w:r w:rsidRPr="00A91371">
                  <w:rPr>
                    <w:color w:val="000000"/>
                    <w:sz w:val="21"/>
                    <w:szCs w:val="21"/>
                  </w:rPr>
                  <w:t xml:space="preserve">, </w:t>
                </w:r>
                <w:r w:rsidRPr="00A91371">
                  <w:rPr>
                    <w:i/>
                    <w:iCs/>
                    <w:color w:val="000000"/>
                    <w:sz w:val="21"/>
                    <w:szCs w:val="21"/>
                  </w:rPr>
                  <w:t>2</w:t>
                </w:r>
                <w:r w:rsidRPr="00A91371">
                  <w:rPr>
                    <w:color w:val="000000"/>
                    <w:sz w:val="21"/>
                    <w:szCs w:val="21"/>
                  </w:rPr>
                  <w:t>(1), 60-65.</w:t>
                </w:r>
              </w:p>
              <w:p w:rsidR="00DB7C2D" w:rsidRPr="00A91371" w:rsidRDefault="00DB7C2D" w:rsidP="00DB7C2D">
                <w:pPr>
                  <w:pStyle w:val="HTMLPreformatted"/>
                  <w:shd w:val="clear" w:color="auto" w:fill="FFFFFF"/>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lastRenderedPageBreak/>
                  <w:t xml:space="preserve">Fei, X., Wang, Z., Zhong, W., Li, Y., Miao, Y., Zhang, L., &amp; Jiang, Y. (2018). Fracture resistance </w:t>
                </w:r>
              </w:p>
              <w:p w:rsidR="00DB7C2D" w:rsidRPr="00A91371" w:rsidRDefault="00DB7C2D" w:rsidP="00DB7C2D">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and stress </w:t>
                </w:r>
                <w:proofErr w:type="spellStart"/>
                <w:r w:rsidRPr="00A91371">
                  <w:rPr>
                    <w:rFonts w:ascii="Times New Roman" w:hAnsi="Times New Roman" w:cs="Times New Roman"/>
                    <w:color w:val="000000"/>
                    <w:sz w:val="21"/>
                    <w:szCs w:val="21"/>
                  </w:rPr>
                  <w:t>distrubution</w:t>
                </w:r>
                <w:proofErr w:type="spellEnd"/>
                <w:r w:rsidRPr="00A91371">
                  <w:rPr>
                    <w:rFonts w:ascii="Times New Roman" w:hAnsi="Times New Roman" w:cs="Times New Roman"/>
                    <w:color w:val="000000"/>
                    <w:sz w:val="21"/>
                    <w:szCs w:val="21"/>
                  </w:rPr>
                  <w:t xml:space="preserve"> of repairing endodontically treated maxillary first premolars with </w:t>
                </w:r>
              </w:p>
              <w:p w:rsidR="00DB7C2D" w:rsidRPr="00A91371" w:rsidRDefault="00DB7C2D" w:rsidP="00DB7C2D">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severe non-carious cervical lesions. </w:t>
                </w:r>
                <w:r w:rsidRPr="00A91371">
                  <w:rPr>
                    <w:rFonts w:ascii="Times New Roman" w:hAnsi="Times New Roman" w:cs="Times New Roman"/>
                    <w:i/>
                    <w:iCs/>
                    <w:color w:val="000000"/>
                    <w:sz w:val="21"/>
                    <w:szCs w:val="21"/>
                  </w:rPr>
                  <w:t>Dental Materials Journal</w:t>
                </w:r>
                <w:r w:rsidRPr="00A91371">
                  <w:rPr>
                    <w:rFonts w:ascii="Times New Roman" w:hAnsi="Times New Roman" w:cs="Times New Roman"/>
                    <w:color w:val="000000"/>
                    <w:sz w:val="21"/>
                    <w:szCs w:val="21"/>
                  </w:rPr>
                  <w:t xml:space="preserve">, </w:t>
                </w:r>
                <w:r w:rsidRPr="00A91371">
                  <w:rPr>
                    <w:rFonts w:ascii="Times New Roman" w:hAnsi="Times New Roman" w:cs="Times New Roman"/>
                    <w:i/>
                    <w:iCs/>
                    <w:color w:val="000000"/>
                    <w:sz w:val="21"/>
                    <w:szCs w:val="21"/>
                  </w:rPr>
                  <w:t>37</w:t>
                </w:r>
                <w:r w:rsidRPr="00A91371">
                  <w:rPr>
                    <w:rFonts w:ascii="Times New Roman" w:hAnsi="Times New Roman" w:cs="Times New Roman"/>
                    <w:color w:val="000000"/>
                    <w:sz w:val="21"/>
                    <w:szCs w:val="21"/>
                  </w:rPr>
                  <w:t>(5), 789-797.</w:t>
                </w:r>
              </w:p>
              <w:p w:rsidR="000A3E6C" w:rsidRPr="00A91371" w:rsidRDefault="000A3E6C" w:rsidP="000A3E6C">
                <w:pPr>
                  <w:pStyle w:val="HTMLPreformatted"/>
                  <w:shd w:val="clear" w:color="auto" w:fill="FFFFFF"/>
                  <w:wordWrap w:val="0"/>
                  <w:rPr>
                    <w:rFonts w:ascii="Times New Roman" w:hAnsi="Times New Roman" w:cs="Times New Roman"/>
                    <w:color w:val="000000"/>
                    <w:sz w:val="21"/>
                    <w:szCs w:val="21"/>
                  </w:rPr>
                </w:pPr>
                <w:proofErr w:type="spellStart"/>
                <w:r w:rsidRPr="00A91371">
                  <w:rPr>
                    <w:rFonts w:ascii="Times New Roman" w:hAnsi="Times New Roman" w:cs="Times New Roman"/>
                    <w:color w:val="000000"/>
                    <w:sz w:val="21"/>
                    <w:szCs w:val="21"/>
                  </w:rPr>
                  <w:t>Marchionatti</w:t>
                </w:r>
                <w:proofErr w:type="spellEnd"/>
                <w:r w:rsidRPr="00A91371">
                  <w:rPr>
                    <w:rFonts w:ascii="Times New Roman" w:hAnsi="Times New Roman" w:cs="Times New Roman"/>
                    <w:color w:val="000000"/>
                    <w:sz w:val="21"/>
                    <w:szCs w:val="21"/>
                  </w:rPr>
                  <w:t xml:space="preserve">, A. M. E., </w:t>
                </w:r>
                <w:proofErr w:type="spellStart"/>
                <w:r w:rsidRPr="00A91371">
                  <w:rPr>
                    <w:rFonts w:ascii="Times New Roman" w:hAnsi="Times New Roman" w:cs="Times New Roman"/>
                    <w:color w:val="000000"/>
                    <w:sz w:val="21"/>
                    <w:szCs w:val="21"/>
                  </w:rPr>
                  <w:t>Wandscher</w:t>
                </w:r>
                <w:proofErr w:type="spellEnd"/>
                <w:r w:rsidRPr="00A91371">
                  <w:rPr>
                    <w:rFonts w:ascii="Times New Roman" w:hAnsi="Times New Roman" w:cs="Times New Roman"/>
                    <w:color w:val="000000"/>
                    <w:sz w:val="21"/>
                    <w:szCs w:val="21"/>
                  </w:rPr>
                  <w:t xml:space="preserve">, V. F., </w:t>
                </w:r>
                <w:proofErr w:type="spellStart"/>
                <w:r w:rsidRPr="00A91371">
                  <w:rPr>
                    <w:rFonts w:ascii="Times New Roman" w:hAnsi="Times New Roman" w:cs="Times New Roman"/>
                    <w:color w:val="000000"/>
                    <w:sz w:val="21"/>
                    <w:szCs w:val="21"/>
                  </w:rPr>
                  <w:t>Rippe</w:t>
                </w:r>
                <w:proofErr w:type="spellEnd"/>
                <w:r w:rsidRPr="00A91371">
                  <w:rPr>
                    <w:rFonts w:ascii="Times New Roman" w:hAnsi="Times New Roman" w:cs="Times New Roman"/>
                    <w:color w:val="000000"/>
                    <w:sz w:val="21"/>
                    <w:szCs w:val="21"/>
                  </w:rPr>
                  <w:t xml:space="preserve">, M. P., </w:t>
                </w:r>
                <w:proofErr w:type="spellStart"/>
                <w:r w:rsidRPr="00A91371">
                  <w:rPr>
                    <w:rFonts w:ascii="Times New Roman" w:hAnsi="Times New Roman" w:cs="Times New Roman"/>
                    <w:color w:val="000000"/>
                    <w:sz w:val="21"/>
                    <w:szCs w:val="21"/>
                  </w:rPr>
                  <w:t>Kaizer</w:t>
                </w:r>
                <w:proofErr w:type="spellEnd"/>
                <w:r w:rsidRPr="00A91371">
                  <w:rPr>
                    <w:rFonts w:ascii="Times New Roman" w:hAnsi="Times New Roman" w:cs="Times New Roman"/>
                    <w:color w:val="000000"/>
                    <w:sz w:val="21"/>
                    <w:szCs w:val="21"/>
                  </w:rPr>
                  <w:t xml:space="preserve">, O. B., &amp; </w:t>
                </w:r>
                <w:proofErr w:type="spellStart"/>
                <w:r w:rsidRPr="00A91371">
                  <w:rPr>
                    <w:rFonts w:ascii="Times New Roman" w:hAnsi="Times New Roman" w:cs="Times New Roman"/>
                    <w:color w:val="000000"/>
                    <w:sz w:val="21"/>
                    <w:szCs w:val="21"/>
                  </w:rPr>
                  <w:t>Valandro</w:t>
                </w:r>
                <w:proofErr w:type="spellEnd"/>
                <w:r w:rsidRPr="00A91371">
                  <w:rPr>
                    <w:rFonts w:ascii="Times New Roman" w:hAnsi="Times New Roman" w:cs="Times New Roman"/>
                    <w:color w:val="000000"/>
                    <w:sz w:val="21"/>
                    <w:szCs w:val="21"/>
                  </w:rPr>
                  <w:t xml:space="preserve">, L. F. (2017). </w:t>
                </w:r>
              </w:p>
              <w:p w:rsidR="000A3E6C" w:rsidRPr="00A91371" w:rsidRDefault="000A3E6C" w:rsidP="000A3E6C">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Clinical performance and failure modes of </w:t>
                </w:r>
                <w:proofErr w:type="spellStart"/>
                <w:r w:rsidRPr="00A91371">
                  <w:rPr>
                    <w:rFonts w:ascii="Times New Roman" w:hAnsi="Times New Roman" w:cs="Times New Roman"/>
                    <w:color w:val="000000"/>
                    <w:sz w:val="21"/>
                    <w:szCs w:val="21"/>
                  </w:rPr>
                  <w:t>pulpless</w:t>
                </w:r>
                <w:proofErr w:type="spellEnd"/>
                <w:r w:rsidRPr="00A91371">
                  <w:rPr>
                    <w:rFonts w:ascii="Times New Roman" w:hAnsi="Times New Roman" w:cs="Times New Roman"/>
                    <w:color w:val="000000"/>
                    <w:sz w:val="21"/>
                    <w:szCs w:val="21"/>
                  </w:rPr>
                  <w:t xml:space="preserve"> teeth restored with posts: a systematic </w:t>
                </w:r>
              </w:p>
              <w:p w:rsidR="005B248D" w:rsidRPr="000A3E6C" w:rsidRDefault="000A3E6C" w:rsidP="000A3E6C">
                <w:pPr>
                  <w:pStyle w:val="HTMLPreformatted"/>
                  <w:wordWrap w:val="0"/>
                  <w:rPr>
                    <w:rFonts w:ascii="Times New Roman" w:hAnsi="Times New Roman" w:cs="Times New Roman"/>
                    <w:color w:val="000000"/>
                    <w:sz w:val="21"/>
                    <w:szCs w:val="21"/>
                  </w:rPr>
                </w:pPr>
                <w:r w:rsidRPr="00A91371">
                  <w:rPr>
                    <w:rFonts w:ascii="Times New Roman" w:hAnsi="Times New Roman" w:cs="Times New Roman"/>
                    <w:color w:val="000000"/>
                    <w:sz w:val="21"/>
                    <w:szCs w:val="21"/>
                  </w:rPr>
                  <w:t xml:space="preserve">     review. </w:t>
                </w:r>
                <w:r w:rsidRPr="00A91371">
                  <w:rPr>
                    <w:rFonts w:ascii="Times New Roman" w:hAnsi="Times New Roman" w:cs="Times New Roman"/>
                    <w:i/>
                    <w:iCs/>
                    <w:color w:val="000000"/>
                    <w:sz w:val="21"/>
                    <w:szCs w:val="21"/>
                  </w:rPr>
                  <w:t>Brazilian Oral Research</w:t>
                </w:r>
                <w:r w:rsidRPr="00A91371">
                  <w:rPr>
                    <w:rFonts w:ascii="Times New Roman" w:hAnsi="Times New Roman" w:cs="Times New Roman"/>
                    <w:color w:val="000000"/>
                    <w:sz w:val="21"/>
                    <w:szCs w:val="21"/>
                  </w:rPr>
                  <w:t xml:space="preserve">, </w:t>
                </w:r>
                <w:r w:rsidRPr="00A91371">
                  <w:rPr>
                    <w:rFonts w:ascii="Times New Roman" w:hAnsi="Times New Roman" w:cs="Times New Roman"/>
                    <w:i/>
                    <w:iCs/>
                    <w:color w:val="000000"/>
                    <w:sz w:val="21"/>
                    <w:szCs w:val="21"/>
                  </w:rPr>
                  <w:t>31</w:t>
                </w:r>
                <w:r w:rsidRPr="00A91371">
                  <w:rPr>
                    <w:rFonts w:ascii="Times New Roman" w:hAnsi="Times New Roman" w:cs="Times New Roman"/>
                    <w:color w:val="000000"/>
                    <w:sz w:val="21"/>
                    <w:szCs w:val="21"/>
                  </w:rPr>
                  <w:t>.</w:t>
                </w:r>
              </w:p>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11F" w:rsidRDefault="007D111F" w:rsidP="00292BEF">
      <w:r>
        <w:separator/>
      </w:r>
    </w:p>
  </w:endnote>
  <w:endnote w:type="continuationSeparator" w:id="0">
    <w:p w:rsidR="007D111F" w:rsidRDefault="007D111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11F" w:rsidRDefault="007D111F" w:rsidP="00292BEF">
      <w:r>
        <w:separator/>
      </w:r>
    </w:p>
  </w:footnote>
  <w:footnote w:type="continuationSeparator" w:id="0">
    <w:p w:rsidR="007D111F" w:rsidRDefault="007D111F"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A3E6C"/>
    <w:rsid w:val="000B3959"/>
    <w:rsid w:val="001248CF"/>
    <w:rsid w:val="00187B59"/>
    <w:rsid w:val="002223D1"/>
    <w:rsid w:val="00246C4B"/>
    <w:rsid w:val="002925BA"/>
    <w:rsid w:val="00292BEF"/>
    <w:rsid w:val="002E4398"/>
    <w:rsid w:val="00306D6B"/>
    <w:rsid w:val="0042018B"/>
    <w:rsid w:val="004C6910"/>
    <w:rsid w:val="0054416D"/>
    <w:rsid w:val="005B248D"/>
    <w:rsid w:val="00701980"/>
    <w:rsid w:val="007B6610"/>
    <w:rsid w:val="007D111F"/>
    <w:rsid w:val="007E090B"/>
    <w:rsid w:val="00821B86"/>
    <w:rsid w:val="008C7607"/>
    <w:rsid w:val="009A073A"/>
    <w:rsid w:val="009F7390"/>
    <w:rsid w:val="00B50056"/>
    <w:rsid w:val="00BE2325"/>
    <w:rsid w:val="00C16B4D"/>
    <w:rsid w:val="00C346B1"/>
    <w:rsid w:val="00C42AED"/>
    <w:rsid w:val="00C90ED3"/>
    <w:rsid w:val="00CA07DB"/>
    <w:rsid w:val="00CC0EE8"/>
    <w:rsid w:val="00DB7C2D"/>
    <w:rsid w:val="00DF1FAB"/>
    <w:rsid w:val="00E05B1E"/>
    <w:rsid w:val="00F3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D37B"/>
  <w15:docId w15:val="{4D7AB5D2-DCAF-F74A-A64C-C7E5DEBC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7">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HTMLPreformatted">
    <w:name w:val="HTML Preformatted"/>
    <w:basedOn w:val="Normal"/>
    <w:link w:val="HTMLPreformattedChar"/>
    <w:uiPriority w:val="99"/>
    <w:unhideWhenUsed/>
    <w:locked/>
    <w:rsid w:val="00DB7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DB7C2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097151"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097151"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097151"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097151"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097151"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097151"/>
    <w:rsid w:val="00145A2F"/>
    <w:rsid w:val="002F217F"/>
    <w:rsid w:val="0047423F"/>
    <w:rsid w:val="005D3A08"/>
    <w:rsid w:val="005F2355"/>
    <w:rsid w:val="00622B8E"/>
    <w:rsid w:val="00783761"/>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Miller, Margaret</cp:lastModifiedBy>
  <cp:revision>9</cp:revision>
  <dcterms:created xsi:type="dcterms:W3CDTF">2020-10-05T01:19:00Z</dcterms:created>
  <dcterms:modified xsi:type="dcterms:W3CDTF">2020-10-13T00:56:00Z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