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1A-3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Josephine Tokarev</w:t>
                </w:r>
              </w:p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Amin </w:t>
                </w:r>
                <w:proofErr w:type="spellStart"/>
                <w:r>
                  <w:rPr>
                    <w:b/>
                  </w:rPr>
                  <w:t>Akeeb</w:t>
                </w:r>
                <w:proofErr w:type="spellEnd"/>
              </w:p>
              <w:p w:rsidR="001C6389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Josephine Hayes-</w:t>
                </w:r>
                <w:proofErr w:type="spellStart"/>
                <w:r>
                  <w:rPr>
                    <w:b/>
                  </w:rPr>
                  <w:t>Birchler</w:t>
                </w:r>
                <w:proofErr w:type="spellEnd"/>
              </w:p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Tristan </w:t>
                </w:r>
                <w:proofErr w:type="spellStart"/>
                <w:r>
                  <w:rPr>
                    <w:b/>
                  </w:rPr>
                  <w:t>Rostagno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1C6389" w:rsidRDefault="001C6389" w:rsidP="001C6389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is the effectiveness of occlusal guards in patients with myofascial pain? 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myofascial pain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Splinting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Non splinting therapy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Success rate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sdt>
              <w:sdtPr>
                <w:rPr>
                  <w:b/>
                </w:rPr>
                <w:id w:val="156352833"/>
                <w:placeholder>
                  <w:docPart w:val="01608AE855F66C4EB74655AEA1FA5C44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1C6389" w:rsidRDefault="001C6389" w:rsidP="001C6389">
                    <w:pPr>
                      <w:spacing w:line="240" w:lineRule="auto"/>
                      <w:ind w:left="0" w:firstLine="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 xml:space="preserve">In patients with myofascial pain, does splinting therapy compared to </w:t>
                    </w:r>
                    <w:proofErr w:type="spellStart"/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>nonsplinting</w:t>
                    </w:r>
                    <w:proofErr w:type="spellEnd"/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 xml:space="preserve"> therapy result in a </w:t>
                    </w:r>
                    <w:r w:rsidR="006B244C"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>better prognosis?</w:t>
                    </w:r>
                  </w:p>
                  <w:p w:rsidR="00692E4D" w:rsidRDefault="00692E4D" w:rsidP="001C6389">
                    <w:pPr>
                      <w:ind w:left="0" w:firstLine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Splinting therapy has a higher success rate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:rsidR="00692E4D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10/5/20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1C6389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Pubmed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:rsidR="00692E4D" w:rsidRPr="00974240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Searching for RCT’s, Systematic Reviews, Meta-analysis, Articles no older than 2000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sdt>
              <w:sdtPr>
                <w:rPr>
                  <w:b/>
                </w:rPr>
                <w:id w:val="-1565250893"/>
                <w:placeholder>
                  <w:docPart w:val="F0D88996B7F1874DA159E7FB4E465385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692E4D" w:rsidRPr="00974240" w:rsidRDefault="00ED4893" w:rsidP="00692E4D">
                    <w:pPr>
                      <w:ind w:left="0"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>Myofascial pain, splinting, temporomandibular joint disorders, occlusal splints</w:t>
                    </w: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:rsidR="006B244C" w:rsidRDefault="006B244C" w:rsidP="006B244C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Al-Ani Z, Gray RJ, Davies SJ, Sloan P, Glenny AM. Stabilization splint therapy for the treatment of temporomandibular myofascial pain: a systematic review. J Dent Educ. 2005 Nov;69(11):1242-50. PMID: 16275687.</w:t>
                </w:r>
              </w:p>
              <w:p w:rsidR="006B244C" w:rsidRDefault="006B244C" w:rsidP="006B244C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  <w:p w:rsidR="006B244C" w:rsidRDefault="006B244C" w:rsidP="006B244C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lastRenderedPageBreak/>
                  <w:t>Al-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Moraissi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EA,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Farea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R,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Qasem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KA, Al-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Wadeai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MS, Al-Sabahi ME, Al-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Iryani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GM. Effectiveness of occlusal splint therapy in the management of temporomandibular disorders: network meta-analysis of randomized controlled trials. Int J Oral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Maxillofac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Surg. 2020 Aug;49(8):1042-1056.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doi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: 10.1016/j.ijom.2020.01.004.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Epub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2020 Jan 22. PMID: 31982236.</w:t>
                </w:r>
              </w:p>
              <w:p w:rsidR="006B244C" w:rsidRDefault="006B244C" w:rsidP="006B244C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  <w:p w:rsidR="006B244C" w:rsidRDefault="006B244C" w:rsidP="006B244C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Kuzmanovic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Pficer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 J,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Dodic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 S,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Lazic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 V,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Trajkovic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 G, Milic N, Milicic B. Occlusal stabilization splint for patients with temporomandibular disorders: Meta-analysis of </w:t>
                </w:r>
                <w:proofErr w:type="gram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short and long term</w:t>
                </w:r>
                <w:proofErr w:type="gram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 effects. 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  <w:szCs w:val="20"/>
                    <w:shd w:val="clear" w:color="auto" w:fill="FFFFFF"/>
                  </w:rPr>
                  <w:t>PLoS</w:t>
                </w:r>
                <w:proofErr w:type="spellEnd"/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  <w:szCs w:val="20"/>
                    <w:shd w:val="clear" w:color="auto" w:fill="FFFFFF"/>
                  </w:rPr>
                  <w:t xml:space="preserve"> One</w:t>
                </w:r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. 2017;12(2</w:t>
                </w:r>
                <w:proofErr w:type="gram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):e</w:t>
                </w:r>
                <w:proofErr w:type="gram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 xml:space="preserve">0171296. Published 2017 Feb 6. </w:t>
                </w:r>
                <w:proofErr w:type="gramStart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doi:10.1371/journal.pone</w:t>
                </w:r>
                <w:proofErr w:type="gramEnd"/>
                <w:r>
                  <w:rPr>
                    <w:rFonts w:ascii="Arial" w:hAnsi="Arial" w:cs="Arial"/>
                    <w:color w:val="303030"/>
                    <w:sz w:val="20"/>
                    <w:szCs w:val="20"/>
                    <w:shd w:val="clear" w:color="auto" w:fill="FFFFFF"/>
                  </w:rPr>
                  <w:t>.0171296</w:t>
                </w:r>
              </w:p>
              <w:p w:rsidR="00692E4D" w:rsidRPr="00974240" w:rsidRDefault="00692E4D" w:rsidP="006B244C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:rsidR="00692E4D" w:rsidRPr="006A2AEF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</w:t>
                </w:r>
                <w:r w:rsidR="00ED4893">
                  <w:rPr>
                    <w:b/>
                  </w:rPr>
                  <w:t xml:space="preserve">, </w:t>
                </w:r>
                <w:proofErr w:type="spellStart"/>
                <w:r w:rsidR="00ED4893">
                  <w:rPr>
                    <w:b/>
                  </w:rPr>
                  <w:t>Meta Analysis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:rsidR="001C6389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Level of Evidence </w:t>
                </w:r>
              </w:p>
              <w:p w:rsidR="00ED4893" w:rsidRDefault="001C6389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Prior citations</w:t>
                </w:r>
              </w:p>
              <w:p w:rsidR="00ED4893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Journal of publication </w:t>
                </w:r>
              </w:p>
              <w:p w:rsidR="00ED4893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Lacking conflicts of interest </w:t>
                </w:r>
              </w:p>
              <w:p w:rsidR="00ED4893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Mostly recent reviews </w:t>
                </w:r>
              </w:p>
              <w:p w:rsidR="00692E4D" w:rsidRPr="006A2AEF" w:rsidRDefault="00ED4893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Large sample sizes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:rsidR="006B244C" w:rsidRDefault="00B71C8B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1: </w:t>
                </w:r>
              </w:p>
              <w:p w:rsidR="00E226E5" w:rsidRPr="00E226E5" w:rsidRDefault="00E226E5" w:rsidP="00E226E5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Method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Clinical questions established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“Does occlusal splint therapy treat TMDS?”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“What is the most effective oral occlusal splint for reducing pain intensity and TMJ clicking, and improving mouth opening for patients with </w:t>
                </w:r>
                <w:proofErr w:type="spellStart"/>
                <w:r w:rsidRPr="00E226E5">
                  <w:rPr>
                    <w:b/>
                  </w:rPr>
                  <w:t>arthrogenous</w:t>
                </w:r>
                <w:proofErr w:type="spellEnd"/>
                <w:r w:rsidRPr="00E226E5">
                  <w:rPr>
                    <w:b/>
                  </w:rPr>
                  <w:t xml:space="preserve"> and myogenous TMDs?”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“Does the pattern of hard stabilization splint wearing time have an impact on its efficacy in the treatment of TMDs”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The search complied with PICOTS criteria, and articles published between 1977 and 2019 were evaluated for inclusion.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Interventions were anterior repositioning splints, partial coverage splints, prefabricated splints, non-occluding splints, full coverage soft or resilience stabilization splint, counseling therapy &amp; </w:t>
                </w:r>
                <w:proofErr w:type="spellStart"/>
                <w:r w:rsidRPr="00E226E5">
                  <w:rPr>
                    <w:b/>
                  </w:rPr>
                  <w:t>self management</w:t>
                </w:r>
                <w:proofErr w:type="spellEnd"/>
                <w:r w:rsidRPr="00E226E5">
                  <w:rPr>
                    <w:b/>
                  </w:rPr>
                  <w:t xml:space="preserve">, counseling therapy and hard stabilization splint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Control was no treatment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Comparison was flat stabilization splint like a Tanner, Fox, or centric relation appliance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The GRADE system was used to evaluate the RCTs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Even though an RCT is a high level of evidence, the researchers downgraded any that had limitations/biases</w:t>
                </w:r>
              </w:p>
              <w:p w:rsidR="00E226E5" w:rsidRPr="00E226E5" w:rsidRDefault="00E226E5" w:rsidP="00E226E5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  <w:bCs/>
                  </w:rPr>
                  <w:lastRenderedPageBreak/>
                  <w:t xml:space="preserve">Results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Of 600 RCTs evaluated, only 48 were included in the study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Bias risk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25 = </w:t>
                </w:r>
                <w:proofErr w:type="gramStart"/>
                <w:r w:rsidRPr="00E226E5">
                  <w:rPr>
                    <w:b/>
                  </w:rPr>
                  <w:t>unclear ,</w:t>
                </w:r>
                <w:proofErr w:type="gramEnd"/>
                <w:r w:rsidRPr="00E226E5">
                  <w:rPr>
                    <w:b/>
                  </w:rPr>
                  <w:t xml:space="preserve"> 13 = low risk, </w:t>
                </w:r>
                <w:r w:rsidRPr="00E226E5">
                  <w:rPr>
                    <w:b/>
                    <w:bCs/>
                  </w:rPr>
                  <w:t xml:space="preserve">10 = high risk 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Follow up time ranged from 1-12 months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Pain reduction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proofErr w:type="spellStart"/>
                <w:r w:rsidRPr="00E226E5">
                  <w:rPr>
                    <w:b/>
                  </w:rPr>
                  <w:t>Arthrogenous</w:t>
                </w:r>
                <w:proofErr w:type="spellEnd"/>
                <w:r w:rsidRPr="00E226E5">
                  <w:rPr>
                    <w:b/>
                  </w:rPr>
                  <w:t xml:space="preserve"> origin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Dichotomous data (top 3) 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Anterior repositioning splint (86.5%)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Counseling therapy + self-management plus hard stabilization splint (76.5%)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Mini anterior splints (NTI-</w:t>
                </w:r>
                <w:proofErr w:type="spellStart"/>
                <w:r w:rsidRPr="00E226E5">
                  <w:rPr>
                    <w:b/>
                  </w:rPr>
                  <w:t>tss</w:t>
                </w:r>
                <w:proofErr w:type="spellEnd"/>
                <w:r w:rsidRPr="00E226E5">
                  <w:rPr>
                    <w:b/>
                  </w:rPr>
                  <w:t>) (58%)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All low quality of evidence 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proofErr w:type="spellStart"/>
                <w:r w:rsidRPr="00E226E5">
                  <w:rPr>
                    <w:b/>
                  </w:rPr>
                  <w:t>Continous</w:t>
                </w:r>
                <w:proofErr w:type="spellEnd"/>
                <w:r w:rsidRPr="00E226E5">
                  <w:rPr>
                    <w:b/>
                  </w:rPr>
                  <w:t xml:space="preserve"> data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Anterior repositioning splint (92%)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NTI-</w:t>
                </w:r>
                <w:proofErr w:type="spellStart"/>
                <w:r w:rsidRPr="00E226E5">
                  <w:rPr>
                    <w:b/>
                  </w:rPr>
                  <w:t>tss</w:t>
                </w:r>
                <w:proofErr w:type="spellEnd"/>
                <w:r w:rsidRPr="00E226E5">
                  <w:rPr>
                    <w:b/>
                  </w:rPr>
                  <w:t xml:space="preserve"> (76.99%)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Counselling + hard stabilization splint (67.33%)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All low quality of evidence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Myogenous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Dichotomous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NTI-</w:t>
                </w:r>
                <w:proofErr w:type="spellStart"/>
                <w:r w:rsidRPr="00E226E5">
                  <w:rPr>
                    <w:b/>
                  </w:rPr>
                  <w:t>tss</w:t>
                </w:r>
                <w:proofErr w:type="spellEnd"/>
                <w:r w:rsidRPr="00E226E5">
                  <w:rPr>
                    <w:b/>
                  </w:rPr>
                  <w:t xml:space="preserve"> (81.3%)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proofErr w:type="gramStart"/>
                <w:r w:rsidRPr="00E226E5">
                  <w:rPr>
                    <w:b/>
                  </w:rPr>
                  <w:t>Pre-fabricated</w:t>
                </w:r>
                <w:proofErr w:type="gramEnd"/>
                <w:r w:rsidRPr="00E226E5">
                  <w:rPr>
                    <w:b/>
                  </w:rPr>
                  <w:t xml:space="preserve"> splint (74.4%)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Hard stabilization splint (71.8%)</w:t>
                </w:r>
              </w:p>
              <w:p w:rsidR="00E226E5" w:rsidRPr="00E226E5" w:rsidRDefault="00E226E5" w:rsidP="00E226E5">
                <w:pPr>
                  <w:numPr>
                    <w:ilvl w:val="3"/>
                    <w:numId w:val="12"/>
                  </w:numPr>
                  <w:rPr>
                    <w:b/>
                  </w:rPr>
                </w:pPr>
                <w:proofErr w:type="spellStart"/>
                <w:r w:rsidRPr="00E226E5">
                  <w:rPr>
                    <w:b/>
                  </w:rPr>
                  <w:t>Continous</w:t>
                </w:r>
                <w:proofErr w:type="spellEnd"/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NTI-</w:t>
                </w:r>
                <w:proofErr w:type="spellStart"/>
                <w:r w:rsidRPr="00E226E5">
                  <w:rPr>
                    <w:b/>
                  </w:rPr>
                  <w:t>tss</w:t>
                </w:r>
                <w:proofErr w:type="spellEnd"/>
                <w:r w:rsidRPr="00E226E5">
                  <w:rPr>
                    <w:b/>
                  </w:rPr>
                  <w:t xml:space="preserve"> (86.8%) 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Soft stabilization splint (61.9%)</w:t>
                </w:r>
              </w:p>
              <w:p w:rsidR="00E226E5" w:rsidRPr="00E226E5" w:rsidRDefault="00E226E5" w:rsidP="00E226E5">
                <w:pPr>
                  <w:numPr>
                    <w:ilvl w:val="4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Counselling therapy + hard stabilization splint (612%)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Meta regression </w:t>
                </w:r>
                <w:proofErr w:type="spellStart"/>
                <w:r w:rsidRPr="00E226E5">
                  <w:rPr>
                    <w:b/>
                  </w:rPr>
                  <w:t>anaylsis</w:t>
                </w:r>
                <w:proofErr w:type="spellEnd"/>
                <w:r w:rsidRPr="00E226E5">
                  <w:rPr>
                    <w:b/>
                  </w:rPr>
                  <w:t xml:space="preserve">:  For both types of TMD wearing </w:t>
                </w:r>
                <w:proofErr w:type="gramStart"/>
                <w:r w:rsidRPr="00E226E5">
                  <w:rPr>
                    <w:b/>
                  </w:rPr>
                  <w:t>a  hard</w:t>
                </w:r>
                <w:proofErr w:type="gramEnd"/>
                <w:r w:rsidRPr="00E226E5">
                  <w:rPr>
                    <w:b/>
                  </w:rPr>
                  <w:t xml:space="preserve"> stabilization splint at night reduced pain more effectively than 24 hour wear.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Sensitivity analysis:  No actual difference in pain reduction during or post Tx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  <w:bCs/>
                  </w:rPr>
                  <w:t>Conclusions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All occlusal splits are more effective in managing pain than no treatment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Hard stabilization splints make little difference than soft for </w:t>
                </w:r>
                <w:proofErr w:type="spellStart"/>
                <w:proofErr w:type="gramStart"/>
                <w:r w:rsidRPr="00E226E5">
                  <w:rPr>
                    <w:b/>
                  </w:rPr>
                  <w:t>arthrogenous</w:t>
                </w:r>
                <w:proofErr w:type="spellEnd"/>
                <w:r w:rsidRPr="00E226E5">
                  <w:rPr>
                    <w:b/>
                  </w:rPr>
                  <w:t xml:space="preserve">  origin</w:t>
                </w:r>
                <w:proofErr w:type="gramEnd"/>
                <w:r w:rsidRPr="00E226E5">
                  <w:rPr>
                    <w:b/>
                  </w:rPr>
                  <w:t xml:space="preserve"> TMD  and do make a difference for myogenous origin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Post Tx moderate quality evidence is more likely to reduce pain for </w:t>
                </w:r>
                <w:proofErr w:type="spellStart"/>
                <w:r w:rsidRPr="00E226E5">
                  <w:rPr>
                    <w:b/>
                  </w:rPr>
                  <w:t>arthrogenous</w:t>
                </w:r>
                <w:proofErr w:type="spellEnd"/>
                <w:r w:rsidRPr="00E226E5">
                  <w:rPr>
                    <w:b/>
                  </w:rPr>
                  <w:t xml:space="preserve"> but very little for myogenous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lastRenderedPageBreak/>
                  <w:t xml:space="preserve">Duration of wear does in fact affect pain reduction with night-time wear being most effective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Evidence is mostly moderate to low quality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  <w:bCs/>
                  </w:rPr>
                  <w:t>Limitations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>Although most did, not all RCTS used the same diagnostic tool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Blinding was not possible because of the use of occlusal splints </w:t>
                </w:r>
              </w:p>
              <w:p w:rsidR="00E226E5" w:rsidRPr="00E226E5" w:rsidRDefault="00E226E5" w:rsidP="00E226E5">
                <w:pPr>
                  <w:ind w:left="0" w:firstLine="0"/>
                  <w:rPr>
                    <w:b/>
                  </w:rPr>
                </w:pPr>
                <w:r w:rsidRPr="00E226E5">
                  <w:rPr>
                    <w:b/>
                  </w:rPr>
                  <w:t xml:space="preserve">Pain is based on patient’s perception </w:t>
                </w:r>
              </w:p>
              <w:p w:rsidR="00E226E5" w:rsidRDefault="00E226E5" w:rsidP="002E6FF2">
                <w:pPr>
                  <w:ind w:left="0" w:firstLine="0"/>
                  <w:rPr>
                    <w:b/>
                  </w:rPr>
                </w:pPr>
              </w:p>
              <w:p w:rsidR="006B244C" w:rsidRDefault="006B244C" w:rsidP="002E6FF2">
                <w:pPr>
                  <w:ind w:left="0" w:firstLine="0"/>
                  <w:rPr>
                    <w:b/>
                  </w:rPr>
                </w:pPr>
              </w:p>
              <w:p w:rsidR="006B244C" w:rsidRDefault="006B244C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2: </w:t>
                </w:r>
              </w:p>
              <w:p w:rsidR="00E226E5" w:rsidRDefault="00E226E5" w:rsidP="002E6FF2">
                <w:pPr>
                  <w:ind w:left="0" w:firstLine="0"/>
                  <w:rPr>
                    <w:b/>
                  </w:rPr>
                </w:pPr>
              </w:p>
              <w:p w:rsidR="00E226E5" w:rsidRPr="00E226E5" w:rsidRDefault="00E226E5" w:rsidP="00E226E5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Method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Reviews consist of RCTs. The main intervention considered was splint therapy and treatments that were considered as non-splinting therapy include physiotherapy, relaxing appliances, pharmacological interventions, other occlusal appliances.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Patients on all sides of the myofascial pain spectrum were included from mild to severe. Patients who exhibit myofascial pain that is not mostly of muscular origin were excluded.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Databases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Cochrane Central Register of Controlled Trials from 1966 to 2001 using Cochrane Sensitive Search Strategy for RCTs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MEDLINE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Pain measure with VAS scale (visual analogue scale), PSS (Pain Severity Scale), Muscle palpation Index (PPI) &amp; a pain diary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Results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12 RCTs were included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Range of patients = 20-80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Pain reduction greatest with SS compared to all groups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No statistically significant difference between improvement of pain intensity at rest between SS and control group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Both SS and acupuncture showed post Tx improvement gains over no Tx group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Depression improved in this group as well but not the actual “Profile of Mood States”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No difference between SS and non-occluding splints on palpation or pain diary scores </w:t>
                </w:r>
              </w:p>
              <w:p w:rsidR="00E226E5" w:rsidRPr="00E226E5" w:rsidRDefault="00E226E5" w:rsidP="00E226E5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Conclusions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Low quality evidence showing SS efficacy is higher compared to no Tx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No evidence that SS has better efficacy than other conventional treatments </w:t>
                </w:r>
              </w:p>
              <w:p w:rsidR="00E226E5" w:rsidRPr="00E226E5" w:rsidRDefault="00E226E5" w:rsidP="00E226E5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lastRenderedPageBreak/>
                  <w:t>Limitations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Small number of patients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2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Increased risk of selection bias </w:t>
                </w:r>
              </w:p>
              <w:p w:rsidR="00E226E5" w:rsidRDefault="00E226E5" w:rsidP="002E6FF2">
                <w:pPr>
                  <w:ind w:left="0" w:firstLine="0"/>
                  <w:rPr>
                    <w:b/>
                  </w:rPr>
                </w:pPr>
              </w:p>
              <w:p w:rsidR="006B244C" w:rsidRDefault="006B244C" w:rsidP="002E6FF2">
                <w:pPr>
                  <w:ind w:left="0" w:firstLine="0"/>
                  <w:rPr>
                    <w:b/>
                  </w:rPr>
                </w:pPr>
              </w:p>
              <w:p w:rsidR="00E226E5" w:rsidRDefault="006B244C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 3: </w:t>
                </w:r>
              </w:p>
              <w:p w:rsidR="00E226E5" w:rsidRDefault="00E226E5" w:rsidP="002E6FF2">
                <w:pPr>
                  <w:ind w:left="0" w:firstLine="0"/>
                  <w:rPr>
                    <w:b/>
                  </w:rPr>
                </w:pPr>
              </w:p>
              <w:p w:rsidR="00E226E5" w:rsidRPr="00E226E5" w:rsidRDefault="00E226E5" w:rsidP="00E226E5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Method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RCTs were found in MEDLINE, Web of Science, and EMBASE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Treatment modalities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Occluding splint, occlusal oral appliances, physiotherapy, behavioral therapy, counseling, no treatment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Patients with mild to severe levels of TMD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GRADE was used to evaluate evidence along with the use of meta-regression analysis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Short = (≤ 3 months), Long = (&gt; 3 months)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Pain reduction = categorical &amp; Pain intensity = VAS </w:t>
                </w:r>
                <w:proofErr w:type="gramStart"/>
                <w:r w:rsidRPr="00E226E5">
                  <w:rPr>
                    <w:b/>
                  </w:rPr>
                  <w:t>( visual</w:t>
                </w:r>
                <w:proofErr w:type="gramEnd"/>
                <w:r w:rsidRPr="00E226E5">
                  <w:rPr>
                    <w:b/>
                  </w:rPr>
                  <w:t xml:space="preserve"> analogue scale) </w:t>
                </w:r>
              </w:p>
              <w:p w:rsidR="00E226E5" w:rsidRPr="00E226E5" w:rsidRDefault="00E226E5" w:rsidP="00E226E5">
                <w:pPr>
                  <w:numPr>
                    <w:ilvl w:val="0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Results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33 RCTS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10 studies = non-occluding splints, 9 = SS vs. occlusal appliances, 5 = control group with physical therapy, 4 studies = SS vs. behavioral Tx, 3 studies = minimal treatment (exercise &amp; counseling, 1 study = counseling was control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Stabilization splints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Positive effects on pain reduction and intensity for those of myogenous origin vs. control groups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Decrease of muscle tenderness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Improved mouth opening </w:t>
                </w:r>
              </w:p>
              <w:p w:rsidR="00E226E5" w:rsidRPr="00E226E5" w:rsidRDefault="00E226E5" w:rsidP="00E226E5">
                <w:pPr>
                  <w:numPr>
                    <w:ilvl w:val="2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  <w:bCs/>
                  </w:rPr>
                  <w:t xml:space="preserve">No difference between stabilization splints and other oral appliances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Continued use of stabilization splints throughout the day affects prognosis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Long term results = no difference between any treatment modality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Depression for long term use was better for the control group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Effect of SS better in patients if splint was worn 24 hours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Conclusions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For short-term effects, SS = benefits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For long term, SS = same as any other therapy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SS better than non-occluding splint patients with myofascial pain of myogenous origin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Limitations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 xml:space="preserve">80% of studies = high risk for performance bias of author’s judgments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lastRenderedPageBreak/>
                  <w:t xml:space="preserve">But none for pain reduction or pain intensity 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Low quality studies because of the comparison to control groups</w:t>
                </w:r>
              </w:p>
              <w:p w:rsidR="00E226E5" w:rsidRPr="00E226E5" w:rsidRDefault="00E226E5" w:rsidP="00E226E5">
                <w:pPr>
                  <w:numPr>
                    <w:ilvl w:val="1"/>
                    <w:numId w:val="14"/>
                  </w:numPr>
                  <w:rPr>
                    <w:b/>
                  </w:rPr>
                </w:pPr>
                <w:r w:rsidRPr="00E226E5">
                  <w:rPr>
                    <w:b/>
                  </w:rPr>
                  <w:t>Not all studies used the same time frame when comparing effects</w:t>
                </w:r>
              </w:p>
              <w:p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FD45B0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FD45B0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FD45B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8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FD45B0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8B">
                  <w:rPr>
                    <w:rFonts w:ascii="MS Gothic" w:eastAsia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FD45B0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:rsidR="002972EE" w:rsidRDefault="00C8490A" w:rsidP="002972EE">
                <w:pPr>
                  <w:ind w:left="0" w:firstLine="0"/>
                </w:pPr>
                <w:r>
                  <w:rPr>
                    <w:b/>
                  </w:rPr>
                  <w:t xml:space="preserve">While low quality to moderate evidence, the research suggests that splinting therapy provides better prognosis than other conventional forms of treatment, but stabilization splints provide no significant </w:t>
                </w:r>
                <w:proofErr w:type="gramStart"/>
                <w:r>
                  <w:rPr>
                    <w:b/>
                  </w:rPr>
                  <w:t>long term</w:t>
                </w:r>
                <w:proofErr w:type="gramEnd"/>
                <w:r>
                  <w:rPr>
                    <w:b/>
                  </w:rPr>
                  <w:t xml:space="preserve"> relief when compared to other occlusal splints. 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lastRenderedPageBreak/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45B0" w:rsidRDefault="00FD45B0" w:rsidP="00692E4D">
      <w:pPr>
        <w:spacing w:after="0" w:line="240" w:lineRule="auto"/>
      </w:pPr>
      <w:r>
        <w:separator/>
      </w:r>
    </w:p>
  </w:endnote>
  <w:endnote w:type="continuationSeparator" w:id="0">
    <w:p w:rsidR="00FD45B0" w:rsidRDefault="00FD45B0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45B0" w:rsidRDefault="00FD45B0" w:rsidP="00692E4D">
      <w:pPr>
        <w:spacing w:after="0" w:line="240" w:lineRule="auto"/>
      </w:pPr>
      <w:r>
        <w:separator/>
      </w:r>
    </w:p>
  </w:footnote>
  <w:footnote w:type="continuationSeparator" w:id="0">
    <w:p w:rsidR="00FD45B0" w:rsidRDefault="00FD45B0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57512"/>
    <w:multiLevelType w:val="hybridMultilevel"/>
    <w:tmpl w:val="276E29F8"/>
    <w:lvl w:ilvl="0" w:tplc="8BC466F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CA7F5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A1F0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A0DF6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C4EC5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069E0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BC688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3636A6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02AD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315B7"/>
    <w:multiLevelType w:val="hybridMultilevel"/>
    <w:tmpl w:val="AA1A5B60"/>
    <w:lvl w:ilvl="0" w:tplc="0700DB8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AF99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4BB54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A1352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284788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40B7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D0565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84B2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A02B7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34822"/>
    <w:multiLevelType w:val="hybridMultilevel"/>
    <w:tmpl w:val="00D2B438"/>
    <w:lvl w:ilvl="0" w:tplc="606A373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4F9B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043A4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AED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6439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0D9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8E91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8957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4CD5A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4ED2705"/>
    <w:multiLevelType w:val="hybridMultilevel"/>
    <w:tmpl w:val="5A805220"/>
    <w:lvl w:ilvl="0" w:tplc="2506C67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C26EF8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A73C6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A992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18C55C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72CDD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5E524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A44D0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E8AD5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1069B"/>
    <w:multiLevelType w:val="hybridMultilevel"/>
    <w:tmpl w:val="0B4802A6"/>
    <w:lvl w:ilvl="0" w:tplc="DE3C244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EAC680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8D2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2DEA0"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4FF26"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C8F3D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3CF3D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C6CDF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EE61E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DDA454C"/>
    <w:multiLevelType w:val="hybridMultilevel"/>
    <w:tmpl w:val="512EE928"/>
    <w:lvl w:ilvl="0" w:tplc="55FADDA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ED2DC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6EECC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8D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6422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22531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054C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E80E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BE7CC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1C6389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6B244C"/>
    <w:rsid w:val="007278F8"/>
    <w:rsid w:val="00746A56"/>
    <w:rsid w:val="0084217E"/>
    <w:rsid w:val="008A3451"/>
    <w:rsid w:val="00A228DA"/>
    <w:rsid w:val="00A62F53"/>
    <w:rsid w:val="00B71C8B"/>
    <w:rsid w:val="00C5453E"/>
    <w:rsid w:val="00C8490A"/>
    <w:rsid w:val="00DD26F4"/>
    <w:rsid w:val="00E226E5"/>
    <w:rsid w:val="00E4293E"/>
    <w:rsid w:val="00ED1143"/>
    <w:rsid w:val="00ED4893"/>
    <w:rsid w:val="00F32487"/>
    <w:rsid w:val="00F76708"/>
    <w:rsid w:val="00FD4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9B982E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97">
          <w:marLeft w:val="115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89">
          <w:marLeft w:val="157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759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66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623">
          <w:marLeft w:val="115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65">
          <w:marLeft w:val="157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656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498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06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5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844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754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958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94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405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21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71">
          <w:marLeft w:val="157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094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808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77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394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522">
          <w:marLeft w:val="191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96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93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813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653">
          <w:marLeft w:val="157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94">
          <w:marLeft w:val="157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1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94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744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028">
          <w:marLeft w:val="157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83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160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262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488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416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932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337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079">
          <w:marLeft w:val="157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005">
          <w:marLeft w:val="157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734">
          <w:marLeft w:val="157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424">
          <w:marLeft w:val="157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76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867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40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818">
          <w:marLeft w:val="115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4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9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6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32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75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35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4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1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3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484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82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092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538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414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278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55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62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903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976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87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380">
          <w:marLeft w:val="115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09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97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639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2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8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509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035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77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163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470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355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93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903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58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89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43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612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626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633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284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0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44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4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6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250">
          <w:marLeft w:val="157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1608AE855F66C4EB74655AEA1FA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29A8-23FB-8641-B862-56FCE460E921}"/>
      </w:docPartPr>
      <w:docPartBody>
        <w:p w:rsidR="008A6615" w:rsidRDefault="00FB146C" w:rsidP="00FB146C">
          <w:pPr>
            <w:pStyle w:val="01608AE855F66C4EB74655AEA1FA5C44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F0D88996B7F1874DA159E7FB4E46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7EC7C-0DD7-4E41-B6A9-0B37046C18CF}"/>
      </w:docPartPr>
      <w:docPartBody>
        <w:p w:rsidR="00000000" w:rsidRDefault="008A6615" w:rsidP="008A6615">
          <w:pPr>
            <w:pStyle w:val="F0D88996B7F1874DA159E7FB4E465385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3B7715"/>
    <w:rsid w:val="008A6615"/>
    <w:rsid w:val="00B21450"/>
    <w:rsid w:val="00FB146C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A6615"/>
    <w:rPr>
      <w:color w:val="808080"/>
    </w:rPr>
  </w:style>
  <w:style w:type="paragraph" w:customStyle="1" w:styleId="01608AE855F66C4EB74655AEA1FA5C44">
    <w:name w:val="01608AE855F66C4EB74655AEA1FA5C44"/>
    <w:rsid w:val="00FB146C"/>
    <w:pPr>
      <w:spacing w:after="0" w:line="240" w:lineRule="auto"/>
    </w:pPr>
    <w:rPr>
      <w:sz w:val="24"/>
      <w:szCs w:val="24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F0D88996B7F1874DA159E7FB4E465385">
    <w:name w:val="F0D88996B7F1874DA159E7FB4E465385"/>
    <w:rsid w:val="008A661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Josephine Tokarev</cp:lastModifiedBy>
  <cp:revision>2</cp:revision>
  <dcterms:created xsi:type="dcterms:W3CDTF">2020-10-14T13:33:00Z</dcterms:created>
  <dcterms:modified xsi:type="dcterms:W3CDTF">2020-10-14T13:33:00Z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