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F5B0A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62CE393A" w14:textId="77777777" w:rsidTr="002E6FF2">
        <w:tc>
          <w:tcPr>
            <w:tcW w:w="8640" w:type="dxa"/>
          </w:tcPr>
          <w:p w14:paraId="2E648EF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04FC4014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1C76648D" w14:textId="24357492" w:rsidR="00692E4D" w:rsidRDefault="00EB59CC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2B-1</w:t>
                </w:r>
              </w:p>
            </w:tc>
          </w:sdtContent>
        </w:sdt>
      </w:tr>
      <w:tr w:rsidR="00692E4D" w14:paraId="2C3AB64E" w14:textId="77777777" w:rsidTr="002E6FF2">
        <w:tc>
          <w:tcPr>
            <w:tcW w:w="8640" w:type="dxa"/>
          </w:tcPr>
          <w:p w14:paraId="5C33045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727808F5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63709E5C" w14:textId="7A670C7A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Lauren Bostanche, Alexis Tomaszewski, Gabriel Kosmalski</w:t>
                </w:r>
                <w:r w:rsidR="00075505">
                  <w:rPr>
                    <w:b/>
                  </w:rPr>
                  <w:t>, Amanda Witzlib</w:t>
                </w:r>
              </w:p>
            </w:tc>
          </w:sdtContent>
        </w:sdt>
      </w:tr>
      <w:tr w:rsidR="00692E4D" w14:paraId="53CDA211" w14:textId="77777777" w:rsidTr="002E6FF2">
        <w:tc>
          <w:tcPr>
            <w:tcW w:w="8640" w:type="dxa"/>
          </w:tcPr>
          <w:p w14:paraId="01FCA18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33F760B5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12CF40D8" w14:textId="35756BE9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What are the clinical signs of oral lichen planus and what are some of the best ways to relieve symptoms?</w:t>
                </w:r>
              </w:p>
            </w:tc>
          </w:sdtContent>
        </w:sdt>
      </w:tr>
      <w:tr w:rsidR="00692E4D" w14:paraId="74410A57" w14:textId="77777777" w:rsidTr="002E6FF2">
        <w:tc>
          <w:tcPr>
            <w:tcW w:w="8640" w:type="dxa"/>
          </w:tcPr>
          <w:p w14:paraId="3445C91C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103C4F0A" w14:textId="77777777" w:rsidTr="002E6FF2">
        <w:tc>
          <w:tcPr>
            <w:tcW w:w="8640" w:type="dxa"/>
          </w:tcPr>
          <w:p w14:paraId="7E369D4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4189D111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74B0E68E" w14:textId="34ED289F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Patients with oral lichen planus </w:t>
                </w:r>
              </w:p>
            </w:tc>
          </w:sdtContent>
        </w:sdt>
      </w:tr>
      <w:tr w:rsidR="00692E4D" w14:paraId="5E457B5D" w14:textId="77777777" w:rsidTr="002E6FF2">
        <w:tc>
          <w:tcPr>
            <w:tcW w:w="8640" w:type="dxa"/>
          </w:tcPr>
          <w:p w14:paraId="5F266033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038B1E5F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2A9A7BC6" w14:textId="710F3FBC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Topical corticosteroids</w:t>
                </w:r>
              </w:p>
            </w:tc>
          </w:sdtContent>
        </w:sdt>
      </w:tr>
      <w:tr w:rsidR="00692E4D" w14:paraId="4FD3BF3E" w14:textId="77777777" w:rsidTr="002E6FF2">
        <w:tc>
          <w:tcPr>
            <w:tcW w:w="8640" w:type="dxa"/>
          </w:tcPr>
          <w:p w14:paraId="0B18C1E9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3C7A1B33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095C7ED3" w14:textId="26BEE1DD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No treatment</w:t>
                </w:r>
              </w:p>
            </w:tc>
          </w:sdtContent>
        </w:sdt>
      </w:tr>
      <w:tr w:rsidR="00692E4D" w14:paraId="4467D14D" w14:textId="77777777" w:rsidTr="002E6FF2">
        <w:tc>
          <w:tcPr>
            <w:tcW w:w="8640" w:type="dxa"/>
          </w:tcPr>
          <w:p w14:paraId="3372565C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5C19C6C4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5DD5548E" w14:textId="2E8BC804" w:rsidR="00692E4D" w:rsidRDefault="00A52B7E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More effective</w:t>
                </w:r>
                <w:r w:rsidR="00EB59CC">
                  <w:rPr>
                    <w:b/>
                  </w:rPr>
                  <w:t xml:space="preserve"> reduction of symptoms</w:t>
                </w:r>
              </w:p>
            </w:tc>
          </w:sdtContent>
        </w:sdt>
      </w:tr>
      <w:tr w:rsidR="00692E4D" w14:paraId="52D1F9CD" w14:textId="77777777" w:rsidTr="002E6FF2">
        <w:tc>
          <w:tcPr>
            <w:tcW w:w="8640" w:type="dxa"/>
          </w:tcPr>
          <w:p w14:paraId="63EB3EB8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448996E4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5C6908F5" w14:textId="5DAFCE14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In patients with oral lichen planus, do topical corticosteroids or no treatment provide better reduction of symptoms for patient?</w:t>
                </w:r>
              </w:p>
            </w:tc>
          </w:sdtContent>
        </w:sdt>
      </w:tr>
      <w:tr w:rsidR="00692E4D" w14:paraId="416FC4A0" w14:textId="77777777" w:rsidTr="002E6FF2">
        <w:tc>
          <w:tcPr>
            <w:tcW w:w="8640" w:type="dxa"/>
          </w:tcPr>
          <w:p w14:paraId="6D6E744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0D25F9C1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3B09F21F" w14:textId="77777777" w:rsidR="004E5A4A" w:rsidRPr="004E5A4A" w:rsidRDefault="004E5A4A" w:rsidP="004E5A4A">
                <w:pPr>
                  <w:ind w:left="360" w:firstLine="0"/>
                  <w:rPr>
                    <w:b/>
                  </w:rPr>
                </w:pPr>
                <w:r w:rsidRPr="004E5A4A">
                  <w:rPr>
                    <w:b/>
                  </w:rPr>
                  <w:t>Topically applied clobetasol propionate 0.05% (mixed with 4% hydroxyethyl cellulose gel) is an accepted treatment to relieve pain symptoms from OLP</w:t>
                </w:r>
              </w:p>
              <w:p w14:paraId="77D6F946" w14:textId="079A7073" w:rsidR="00692E4D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49C6B36C" w14:textId="77777777" w:rsidTr="002E6FF2">
        <w:tc>
          <w:tcPr>
            <w:tcW w:w="8640" w:type="dxa"/>
          </w:tcPr>
          <w:p w14:paraId="04EB1664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72771F6A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66DE1FCE" w14:textId="0BE89257" w:rsidR="00692E4D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10/14/20</w:t>
                </w:r>
                <w:r w:rsidR="00A52B7E">
                  <w:rPr>
                    <w:b/>
                  </w:rPr>
                  <w:t>, 9/30/20</w:t>
                </w:r>
              </w:p>
            </w:tc>
          </w:sdtContent>
        </w:sdt>
      </w:tr>
      <w:tr w:rsidR="00692E4D" w14:paraId="2D552EA1" w14:textId="77777777" w:rsidTr="002E6FF2">
        <w:tc>
          <w:tcPr>
            <w:tcW w:w="8640" w:type="dxa"/>
          </w:tcPr>
          <w:p w14:paraId="5EFD0FD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3ED216D7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37EA9E92" w14:textId="69A33DA3" w:rsidR="00692E4D" w:rsidRPr="00974240" w:rsidRDefault="00EB59CC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7F1A0D2E" w14:textId="77777777" w:rsidTr="002E6FF2">
        <w:tc>
          <w:tcPr>
            <w:tcW w:w="8640" w:type="dxa"/>
          </w:tcPr>
          <w:p w14:paraId="1CC2FABE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218AF219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2578ACD3" w14:textId="4C4A250C" w:rsidR="00692E4D" w:rsidRPr="00974240" w:rsidRDefault="009B720D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Topical steroids, Clobetasol, Oral lichen Planus, Systematic Review, Meta-analysis</w:t>
                </w:r>
              </w:p>
            </w:tc>
          </w:sdtContent>
        </w:sdt>
      </w:tr>
      <w:tr w:rsidR="00692E4D" w14:paraId="59A44D4D" w14:textId="77777777" w:rsidTr="002E6FF2">
        <w:tc>
          <w:tcPr>
            <w:tcW w:w="8640" w:type="dxa"/>
          </w:tcPr>
          <w:p w14:paraId="6A765B9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35C9AFC2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10E3385E" w14:textId="77777777" w:rsidR="009B720D" w:rsidRDefault="009B720D" w:rsidP="009B720D">
                <w:pPr>
                  <w:ind w:left="360" w:firstLine="0"/>
                </w:pPr>
                <w:r>
                  <w:t>Lichen Planus, Oral / drug therapy, Administration, topical, Steroids / therapeutic use, Clobetasol / therapeutic use, Pain management</w:t>
                </w:r>
              </w:p>
              <w:p w14:paraId="0F366B93" w14:textId="77F61F99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63E9439B" w14:textId="77777777" w:rsidTr="002E6FF2">
        <w:tc>
          <w:tcPr>
            <w:tcW w:w="8640" w:type="dxa"/>
          </w:tcPr>
          <w:p w14:paraId="156878A6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7AEA1E22" w14:textId="77777777" w:rsidTr="002E6FF2">
        <w:bookmarkStart w:id="0" w:name="_Hlk53593608" w:displacedByCustomXml="next"/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6BF003C7" w14:textId="77777777" w:rsidR="00075505" w:rsidRDefault="00075505" w:rsidP="00075505">
                <w:pPr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 xml:space="preserve">Lodi G, Manfredi M, Mercadante V, Murphy R, Carrozzo M. Interventions for treating oral lichen planus: corticosteroid therapies. Cochrane Database Syst </w:t>
                </w: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lastRenderedPageBreak/>
                  <w:t>Rev. 2020 Feb 28;2(2):CD001168. doi: 10.1002/14651858.CD001168.pub3. PMID: 32108333; PMCID: PMC7047223.</w:t>
                </w:r>
              </w:p>
              <w:p w14:paraId="492897B2" w14:textId="77777777" w:rsidR="00075505" w:rsidRDefault="00075505" w:rsidP="00075505">
                <w:pPr>
                  <w:ind w:firstLine="720"/>
                  <w:rPr>
                    <w:rFonts w:ascii="Segoe UI" w:hAnsi="Segoe UI" w:cs="Segoe UI"/>
                    <w:color w:val="212121"/>
                    <w:shd w:val="clear" w:color="auto" w:fill="FFFFFF"/>
                  </w:rPr>
                </w:pPr>
                <w:r>
                  <w:rPr>
                    <w:rFonts w:ascii="Segoe UI" w:hAnsi="Segoe UI" w:cs="Segoe UI"/>
                    <w:color w:val="212121"/>
                    <w:shd w:val="clear" w:color="auto" w:fill="FFFFFF"/>
                  </w:rPr>
                  <w:t>Arduino PG, Campolongo MG, Sciannameo V, Conrotto D, Gambino A, Cabras M, Ricceri F, Carossa S, Broccoletti R, Carbone M. Randomized, placebo-controlled, double-blind trial of clobetasol propionate 0.05% in the treatment of oral lichen planus. Oral Dis. 2018 Jul;24(5):772-777. doi: 10.1111/odi.12821. Epub 2018 Mar 13. PMID: 29297958.</w:t>
                </w:r>
              </w:p>
              <w:p w14:paraId="06D38035" w14:textId="71CDDE41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  <w:bookmarkEnd w:id="0" w:displacedByCustomXml="prev"/>
      </w:tr>
      <w:tr w:rsidR="00692E4D" w14:paraId="5B1A0C78" w14:textId="77777777" w:rsidTr="002E6FF2">
        <w:tc>
          <w:tcPr>
            <w:tcW w:w="8640" w:type="dxa"/>
          </w:tcPr>
          <w:p w14:paraId="0292F6FD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14:paraId="40666AAE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115D3928" w14:textId="00A184FC" w:rsidR="00692E4D" w:rsidRPr="006A2AEF" w:rsidRDefault="0007550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Systematic Review of RCTs, Individual RCT</w:t>
                </w:r>
              </w:p>
            </w:tc>
          </w:sdtContent>
        </w:sdt>
      </w:tr>
      <w:tr w:rsidR="00692E4D" w14:paraId="00402C17" w14:textId="77777777" w:rsidTr="002E6FF2">
        <w:tc>
          <w:tcPr>
            <w:tcW w:w="8640" w:type="dxa"/>
          </w:tcPr>
          <w:p w14:paraId="34176310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3D696E6A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38E82893" w14:textId="585FE09E" w:rsidR="00692E4D" w:rsidRPr="006A2AEF" w:rsidRDefault="00075505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High levels of evidence, Relevant to PICO question</w:t>
                </w:r>
              </w:p>
            </w:tc>
          </w:sdtContent>
        </w:sdt>
      </w:tr>
      <w:tr w:rsidR="00692E4D" w14:paraId="56AF662D" w14:textId="77777777" w:rsidTr="002E6FF2">
        <w:tc>
          <w:tcPr>
            <w:tcW w:w="8640" w:type="dxa"/>
          </w:tcPr>
          <w:p w14:paraId="10BDA6A9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06115FB6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47EF68B1" w14:textId="11381A26" w:rsidR="00151B20" w:rsidRPr="00151B20" w:rsidRDefault="00794086" w:rsidP="00151B20">
                <w:pPr>
                  <w:ind w:left="360" w:firstLine="0"/>
                  <w:rPr>
                    <w:b/>
                  </w:rPr>
                </w:pPr>
                <w:r>
                  <w:rPr>
                    <w:b/>
                  </w:rPr>
                  <w:t xml:space="preserve">Systematic Review article: </w:t>
                </w:r>
                <w:r w:rsidR="00151B20" w:rsidRPr="00151B20">
                  <w:rPr>
                    <w:b/>
                  </w:rPr>
                  <w:t xml:space="preserve">Searched several databases including Cochrane Oral Health Group Trials Register, the Cochrane Central Register of Controlled Trials (CENTRAL), MEDLINE and EMBASE. </w:t>
                </w:r>
              </w:p>
              <w:p w14:paraId="00E702DD" w14:textId="05730A1E" w:rsidR="00794086" w:rsidRDefault="00151B20" w:rsidP="00794086">
                <w:pPr>
                  <w:ind w:left="360" w:firstLine="0"/>
                  <w:rPr>
                    <w:b/>
                  </w:rPr>
                </w:pPr>
                <w:r w:rsidRPr="00151B20">
                  <w:rPr>
                    <w:b/>
                  </w:rPr>
                  <w:t>Studies were scanned and reviewed independently.</w:t>
                </w:r>
                <w:r>
                  <w:rPr>
                    <w:b/>
                  </w:rPr>
                  <w:t xml:space="preserve"> </w:t>
                </w:r>
                <w:r w:rsidRPr="00151B20">
                  <w:rPr>
                    <w:b/>
                  </w:rPr>
                  <w:t>Studies were graded with various levels of bias</w:t>
                </w:r>
                <w:r w:rsidR="00794086">
                  <w:rPr>
                    <w:b/>
                  </w:rPr>
                  <w:t xml:space="preserve">. </w:t>
                </w:r>
                <w:r w:rsidR="00794086" w:rsidRPr="00794086">
                  <w:rPr>
                    <w:b/>
                  </w:rPr>
                  <w:t>It is well known that TCS are the first line of treatment for oral lichen planus. Unable to identify a RCT comparing TSC to a placebo. Unclear what the dosage, concentration, or which specific TCS is the standard of care.</w:t>
                </w:r>
              </w:p>
              <w:p w14:paraId="2957CB76" w14:textId="3062267B" w:rsidR="00794086" w:rsidRDefault="00794086" w:rsidP="00794086">
                <w:pPr>
                  <w:ind w:left="360" w:firstLine="0"/>
                  <w:rPr>
                    <w:b/>
                  </w:rPr>
                </w:pPr>
                <w:r w:rsidRPr="00794086">
                  <w:rPr>
                    <w:b/>
                  </w:rPr>
                  <w:t>Relatively poor quality of trials, including high bias</w:t>
                </w:r>
              </w:p>
              <w:p w14:paraId="406B1879" w14:textId="6796A0FD" w:rsidR="00794086" w:rsidRDefault="00794086" w:rsidP="00794086">
                <w:pPr>
                  <w:ind w:left="360" w:firstLine="0"/>
                  <w:rPr>
                    <w:b/>
                  </w:rPr>
                </w:pPr>
              </w:p>
              <w:p w14:paraId="3384287F" w14:textId="77777777" w:rsidR="00794086" w:rsidRDefault="00794086" w:rsidP="00794086">
                <w:pPr>
                  <w:ind w:left="360" w:firstLine="0"/>
                  <w:rPr>
                    <w:b/>
                  </w:rPr>
                </w:pPr>
                <w:r>
                  <w:rPr>
                    <w:b/>
                  </w:rPr>
                  <w:t>Individual RCT</w:t>
                </w:r>
              </w:p>
              <w:p w14:paraId="0FD25754" w14:textId="407A6BBE" w:rsidR="00794086" w:rsidRPr="00794086" w:rsidRDefault="00794086" w:rsidP="00794086">
                <w:pPr>
                  <w:ind w:left="360" w:firstLine="0"/>
                  <w:rPr>
                    <w:b/>
                  </w:rPr>
                </w:pPr>
                <w:r w:rsidRPr="00794086">
                  <w:rPr>
                    <w:b/>
                  </w:rPr>
                  <w:t>Computer generated randomization, double blind</w:t>
                </w:r>
              </w:p>
              <w:p w14:paraId="136CDE67" w14:textId="77777777" w:rsidR="00794086" w:rsidRPr="00794086" w:rsidRDefault="00794086" w:rsidP="00794086">
                <w:pPr>
                  <w:rPr>
                    <w:b/>
                  </w:rPr>
                </w:pPr>
                <w:r w:rsidRPr="00794086">
                  <w:rPr>
                    <w:b/>
                  </w:rPr>
                  <w:t>Stage I = Topical treatment for 8 weeks, applied twice per day</w:t>
                </w:r>
              </w:p>
              <w:p w14:paraId="62B177EC" w14:textId="1D73BCE6" w:rsidR="00794086" w:rsidRPr="00794086" w:rsidRDefault="00794086" w:rsidP="00794086">
                <w:pPr>
                  <w:rPr>
                    <w:b/>
                  </w:rPr>
                </w:pPr>
                <w:r w:rsidRPr="00794086">
                  <w:rPr>
                    <w:b/>
                  </w:rPr>
                  <w:t>Stage II = Follow up period of 6 months</w:t>
                </w:r>
              </w:p>
              <w:p w14:paraId="0316C55F" w14:textId="77777777" w:rsidR="00794086" w:rsidRDefault="00794086" w:rsidP="00794086">
                <w:pPr>
                  <w:rPr>
                    <w:b/>
                  </w:rPr>
                </w:pPr>
                <w:r w:rsidRPr="00794086">
                  <w:rPr>
                    <w:b/>
                  </w:rPr>
                  <w:t>Clobetasol group symptoms were better and more stable than placebo from week 1 to week 4 (continuous data)</w:t>
                </w:r>
                <w:r>
                  <w:rPr>
                    <w:b/>
                  </w:rPr>
                  <w:t xml:space="preserve">. </w:t>
                </w:r>
                <w:r w:rsidRPr="00794086">
                  <w:rPr>
                    <w:b/>
                  </w:rPr>
                  <w:t>Some adverse effects after first 8 weeks</w:t>
                </w:r>
                <w:r>
                  <w:rPr>
                    <w:b/>
                  </w:rPr>
                  <w:t xml:space="preserve">. </w:t>
                </w:r>
                <w:r w:rsidRPr="00794086">
                  <w:rPr>
                    <w:b/>
                  </w:rPr>
                  <w:t>Relapse and need to be retreated in both groups</w:t>
                </w:r>
              </w:p>
              <w:p w14:paraId="52CBEDE3" w14:textId="5D5F0EB8" w:rsidR="00794086" w:rsidRPr="00794086" w:rsidRDefault="00794086" w:rsidP="00794086">
                <w:pPr>
                  <w:rPr>
                    <w:b/>
                  </w:rPr>
                </w:pPr>
                <w:r w:rsidRPr="00794086">
                  <w:rPr>
                    <w:b/>
                  </w:rPr>
                  <w:t>Clobetasol is widely accepted and should be considered as the first line of treatment</w:t>
                </w:r>
                <w:r>
                  <w:rPr>
                    <w:b/>
                  </w:rPr>
                  <w:t xml:space="preserve">. </w:t>
                </w:r>
                <w:r w:rsidRPr="00794086">
                  <w:rPr>
                    <w:b/>
                  </w:rPr>
                  <w:t>OLP lesions tend to relapse, need to consider long term effects and limitations of T</w:t>
                </w:r>
                <w:r>
                  <w:rPr>
                    <w:b/>
                  </w:rPr>
                  <w:t xml:space="preserve">CS. </w:t>
                </w:r>
                <w:r w:rsidRPr="00794086">
                  <w:rPr>
                    <w:b/>
                  </w:rPr>
                  <w:t>Relatively small sample size</w:t>
                </w:r>
                <w:r>
                  <w:rPr>
                    <w:b/>
                  </w:rPr>
                  <w:t xml:space="preserve">. </w:t>
                </w:r>
                <w:r w:rsidRPr="00794086">
                  <w:rPr>
                    <w:b/>
                  </w:rPr>
                  <w:t>Some mild adverse side effects</w:t>
                </w:r>
              </w:p>
              <w:p w14:paraId="21CE50DC" w14:textId="39657F06" w:rsidR="00151B20" w:rsidRPr="00151B20" w:rsidRDefault="00151B20" w:rsidP="00151B20">
                <w:pPr>
                  <w:ind w:left="360" w:firstLine="0"/>
                  <w:rPr>
                    <w:b/>
                  </w:rPr>
                </w:pPr>
              </w:p>
              <w:p w14:paraId="21EFC2D0" w14:textId="0300BC73" w:rsidR="00692E4D" w:rsidRPr="006A2AEF" w:rsidRDefault="00692E4D" w:rsidP="002E6FF2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5593004C" w14:textId="77777777" w:rsidTr="002E6FF2">
        <w:tc>
          <w:tcPr>
            <w:tcW w:w="8640" w:type="dxa"/>
          </w:tcPr>
          <w:p w14:paraId="63917ACB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5F20A7FE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02D9AAD9" w14:textId="05EBE956" w:rsidR="004816C3" w:rsidRPr="009A3ACA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0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737BE5B3" w14:textId="1CF43EAD" w:rsidR="004816C3" w:rsidRPr="009A3ACA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68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7327FDEF" w14:textId="77777777" w:rsidR="004816C3" w:rsidRPr="009A3ACA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6045BEF8" w14:textId="77777777" w:rsidR="004816C3" w:rsidRPr="00E2331B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6EBC27C0" w14:textId="77777777" w:rsidR="004816C3" w:rsidRPr="00E2331B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434DF406" w14:textId="7EF19D0C" w:rsidR="004816C3" w:rsidRPr="00E2331B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9C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20976D03" w14:textId="77777777" w:rsidR="004816C3" w:rsidRPr="00944D52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6C3DD5F7" w14:textId="77777777" w:rsidR="004816C3" w:rsidRPr="00944D52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1B4668AF" w14:textId="77777777" w:rsidR="004816C3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772AB01A" w14:textId="77777777" w:rsidR="004816C3" w:rsidRDefault="001C136E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3BB2CDEE" w14:textId="77777777" w:rsidR="00692E4D" w:rsidRPr="004816C3" w:rsidRDefault="001C136E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711CBCA5" w14:textId="77777777" w:rsidTr="002E6FF2">
        <w:tc>
          <w:tcPr>
            <w:tcW w:w="8640" w:type="dxa"/>
          </w:tcPr>
          <w:p w14:paraId="037F3F7A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Strength of Recommendation Taxonomy (SORT) For Guidelines and Systematic Reviews</w:t>
            </w:r>
          </w:p>
          <w:p w14:paraId="43B2D2F5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3E53DE37" w14:textId="77A53798" w:rsidR="00692E4D" w:rsidRDefault="001C136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3280BC52" w14:textId="3781176F" w:rsidR="00692E4D" w:rsidRDefault="001C136E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10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0FC5758D" w14:textId="77777777" w:rsidR="00692E4D" w:rsidRDefault="001C136E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253B5AF2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58B0AE5D" w14:textId="77777777" w:rsidTr="002E6FF2">
        <w:tc>
          <w:tcPr>
            <w:tcW w:w="8640" w:type="dxa"/>
          </w:tcPr>
          <w:p w14:paraId="767DF1C3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552354EE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515E413E" w14:textId="77777777" w:rsidR="004E5A4A" w:rsidRPr="004E5A4A" w:rsidRDefault="004E5A4A" w:rsidP="004E5A4A">
                <w:pPr>
                  <w:ind w:left="0" w:firstLine="0"/>
                  <w:rPr>
                    <w:b/>
                  </w:rPr>
                </w:pPr>
                <w:r w:rsidRPr="004E5A4A">
                  <w:rPr>
                    <w:b/>
                  </w:rPr>
                  <w:t xml:space="preserve">It is well known that TCS are the first line of treatment for oral lichen planus. </w:t>
                </w:r>
              </w:p>
              <w:p w14:paraId="00498455" w14:textId="27F9B5AD" w:rsidR="004E5A4A" w:rsidRDefault="004E5A4A" w:rsidP="004E5A4A">
                <w:pPr>
                  <w:ind w:left="360" w:firstLine="0"/>
                  <w:rPr>
                    <w:b/>
                  </w:rPr>
                </w:pPr>
                <w:r>
                  <w:rPr>
                    <w:b/>
                  </w:rPr>
                  <w:t>N</w:t>
                </w:r>
                <w:r w:rsidRPr="004E5A4A">
                  <w:rPr>
                    <w:b/>
                  </w:rPr>
                  <w:t>o difference between Topical Corticosteroids (TCS) and Topical Calcineurin Inhibitor (TCI) Treatment</w:t>
                </w:r>
              </w:p>
              <w:p w14:paraId="021D3C49" w14:textId="77777777" w:rsidR="004E5A4A" w:rsidRDefault="004E5A4A" w:rsidP="004E5A4A">
                <w:pPr>
                  <w:ind w:left="360" w:firstLine="0"/>
                  <w:rPr>
                    <w:b/>
                  </w:rPr>
                </w:pPr>
                <w:r w:rsidRPr="004E5A4A">
                  <w:rPr>
                    <w:b/>
                  </w:rPr>
                  <w:t>No difference for pain relief between low dose clobetasol and high dose clobetasol</w:t>
                </w:r>
              </w:p>
              <w:p w14:paraId="79DBFBFA" w14:textId="229B88C7" w:rsidR="004E5A4A" w:rsidRDefault="004E5A4A" w:rsidP="004E5A4A">
                <w:pPr>
                  <w:ind w:left="360" w:firstLine="0"/>
                  <w:rPr>
                    <w:b/>
                  </w:rPr>
                </w:pPr>
                <w:r w:rsidRPr="004E5A4A">
                  <w:rPr>
                    <w:b/>
                  </w:rPr>
                  <w:t>No evidence that any specific TCS reduces pain better than other TCS</w:t>
                </w:r>
                <w:r>
                  <w:rPr>
                    <w:b/>
                  </w:rPr>
                  <w:t xml:space="preserve">. </w:t>
                </w:r>
                <w:r w:rsidRPr="004E5A4A">
                  <w:rPr>
                    <w:b/>
                  </w:rPr>
                  <w:t>OLP lesions tend to relapse, need to consider long term effects and limitations of T</w:t>
                </w:r>
                <w:r w:rsidR="00151B20">
                  <w:rPr>
                    <w:b/>
                  </w:rPr>
                  <w:t>CS</w:t>
                </w:r>
                <w:r>
                  <w:rPr>
                    <w:b/>
                  </w:rPr>
                  <w:t xml:space="preserve">. </w:t>
                </w:r>
              </w:p>
              <w:sdt>
                <w:sdtPr>
                  <w:rPr>
                    <w:b/>
                  </w:rPr>
                  <w:id w:val="-1614439558"/>
                  <w:placeholder>
                    <w:docPart w:val="F73A9B6F5EDB4E30B77F21FA8FC7EDFC"/>
                  </w:placeholder>
                </w:sdtPr>
                <w:sdtContent>
                  <w:p w14:paraId="00103D54" w14:textId="5DB1677D" w:rsidR="004E5A4A" w:rsidRPr="004E5A4A" w:rsidRDefault="004E5A4A" w:rsidP="004E5A4A">
                    <w:pPr>
                      <w:ind w:left="360" w:firstLine="0"/>
                      <w:rPr>
                        <w:b/>
                      </w:rPr>
                    </w:pPr>
                    <w:r w:rsidRPr="004E5A4A">
                      <w:rPr>
                        <w:b/>
                      </w:rPr>
                      <w:t>Topically applied clobetasol propionate 0.05% (mixed with 4% hydroxyethyl cellulose gel) is an accepted treatment to relieve pain symptoms from OLP</w:t>
                    </w:r>
                  </w:p>
                  <w:p w14:paraId="12C69C50" w14:textId="0A0D7D69" w:rsidR="004E5A4A" w:rsidRPr="004E5A4A" w:rsidRDefault="004E5A4A" w:rsidP="004E5A4A">
                    <w:pPr>
                      <w:ind w:left="360" w:firstLine="0"/>
                      <w:rPr>
                        <w:b/>
                      </w:rPr>
                    </w:pPr>
                  </w:p>
                </w:sdtContent>
              </w:sdt>
              <w:p w14:paraId="09A597D5" w14:textId="77777777" w:rsidR="004E5A4A" w:rsidRPr="004E5A4A" w:rsidRDefault="004E5A4A" w:rsidP="004E5A4A">
                <w:pPr>
                  <w:ind w:left="360" w:firstLine="0"/>
                  <w:rPr>
                    <w:b/>
                  </w:rPr>
                </w:pPr>
              </w:p>
              <w:p w14:paraId="0D1E0E9D" w14:textId="6C19735A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477E1BA2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4BF6E247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5953A21F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787F616A" w14:textId="77777777"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14:paraId="49C91DC3" w14:textId="77777777" w:rsidR="003B2868" w:rsidRDefault="003B2868" w:rsidP="00692E4D">
      <w:pPr>
        <w:ind w:left="0" w:firstLine="0"/>
        <w:rPr>
          <w:b/>
        </w:rPr>
      </w:pPr>
    </w:p>
    <w:p w14:paraId="43879E3A" w14:textId="77777777" w:rsidR="006A2AEF" w:rsidRDefault="006A2AEF" w:rsidP="00692E4D">
      <w:pPr>
        <w:pStyle w:val="ColorfulList-Accent11"/>
        <w:ind w:left="0" w:firstLine="0"/>
      </w:pPr>
    </w:p>
    <w:p w14:paraId="44CDEF7C" w14:textId="77777777" w:rsidR="003B2868" w:rsidRPr="00746A56" w:rsidRDefault="003B2868" w:rsidP="00692E4D">
      <w:pPr>
        <w:pStyle w:val="ColorfulList-Accent11"/>
        <w:ind w:left="0" w:firstLine="0"/>
      </w:pPr>
    </w:p>
    <w:p w14:paraId="2B694EC6" w14:textId="77777777" w:rsidR="004112F5" w:rsidRDefault="004112F5" w:rsidP="00692E4D">
      <w:pPr>
        <w:ind w:left="0" w:firstLine="0"/>
      </w:pPr>
    </w:p>
    <w:p w14:paraId="01FFDCE6" w14:textId="77777777" w:rsidR="004112F5" w:rsidRPr="00355808" w:rsidRDefault="004112F5" w:rsidP="00692E4D">
      <w:pPr>
        <w:ind w:left="0" w:firstLine="0"/>
      </w:pPr>
      <w:r>
        <w:lastRenderedPageBreak/>
        <w:t xml:space="preserve">    </w:t>
      </w:r>
    </w:p>
    <w:p w14:paraId="4FCA044C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A857" w14:textId="77777777" w:rsidR="001C136E" w:rsidRDefault="001C136E" w:rsidP="00692E4D">
      <w:pPr>
        <w:spacing w:after="0" w:line="240" w:lineRule="auto"/>
      </w:pPr>
      <w:r>
        <w:separator/>
      </w:r>
    </w:p>
  </w:endnote>
  <w:endnote w:type="continuationSeparator" w:id="0">
    <w:p w14:paraId="13193990" w14:textId="77777777" w:rsidR="001C136E" w:rsidRDefault="001C136E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8437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2B1E" w14:textId="77777777" w:rsidR="001C136E" w:rsidRDefault="001C136E" w:rsidP="00692E4D">
      <w:pPr>
        <w:spacing w:after="0" w:line="240" w:lineRule="auto"/>
      </w:pPr>
      <w:r>
        <w:separator/>
      </w:r>
    </w:p>
  </w:footnote>
  <w:footnote w:type="continuationSeparator" w:id="0">
    <w:p w14:paraId="592F6803" w14:textId="77777777" w:rsidR="001C136E" w:rsidRDefault="001C136E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35454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506D4E3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3221CF0C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E7B10"/>
    <w:multiLevelType w:val="hybridMultilevel"/>
    <w:tmpl w:val="CE9CDF0C"/>
    <w:lvl w:ilvl="0" w:tplc="5B1808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727D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E616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42E20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C2D85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C6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8617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66D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DA56A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8216B"/>
    <w:multiLevelType w:val="hybridMultilevel"/>
    <w:tmpl w:val="755A9070"/>
    <w:lvl w:ilvl="0" w:tplc="951CE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842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0E2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A78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46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8D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22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CD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E00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A424F"/>
    <w:multiLevelType w:val="hybridMultilevel"/>
    <w:tmpl w:val="24728FD4"/>
    <w:lvl w:ilvl="0" w:tplc="5D363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E2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B21D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2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6D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C2A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62C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9AC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C2D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416EF5"/>
    <w:multiLevelType w:val="hybridMultilevel"/>
    <w:tmpl w:val="12D259A6"/>
    <w:lvl w:ilvl="0" w:tplc="AD948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E3D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22C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043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CE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435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46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AD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0A75ADF"/>
    <w:multiLevelType w:val="hybridMultilevel"/>
    <w:tmpl w:val="CA48B692"/>
    <w:lvl w:ilvl="0" w:tplc="6D281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040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2C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6A6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2B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C92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8D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4A5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42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B61037"/>
    <w:multiLevelType w:val="hybridMultilevel"/>
    <w:tmpl w:val="684212FC"/>
    <w:lvl w:ilvl="0" w:tplc="C3B22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306B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EC2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EBE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EB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058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854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4D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68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CF4667"/>
    <w:multiLevelType w:val="hybridMultilevel"/>
    <w:tmpl w:val="4016DAD8"/>
    <w:lvl w:ilvl="0" w:tplc="26469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45D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43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AB3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AB2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A6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E00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8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607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E29A5"/>
    <w:multiLevelType w:val="hybridMultilevel"/>
    <w:tmpl w:val="A0CC3120"/>
    <w:lvl w:ilvl="0" w:tplc="01A0A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49D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4285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67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22DE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23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9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0E0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B2EB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2E674C"/>
    <w:multiLevelType w:val="hybridMultilevel"/>
    <w:tmpl w:val="396C5C5E"/>
    <w:lvl w:ilvl="0" w:tplc="0C3A5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C1A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2F9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5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A1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0B3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C99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BC8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01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9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361B7"/>
    <w:rsid w:val="000573BB"/>
    <w:rsid w:val="00075505"/>
    <w:rsid w:val="00151B20"/>
    <w:rsid w:val="001632E5"/>
    <w:rsid w:val="00192604"/>
    <w:rsid w:val="001C073A"/>
    <w:rsid w:val="001C136E"/>
    <w:rsid w:val="002967BF"/>
    <w:rsid w:val="002972EE"/>
    <w:rsid w:val="002E6FF2"/>
    <w:rsid w:val="003B2868"/>
    <w:rsid w:val="004112F5"/>
    <w:rsid w:val="004816C3"/>
    <w:rsid w:val="004B1110"/>
    <w:rsid w:val="004E5A4A"/>
    <w:rsid w:val="005F06DC"/>
    <w:rsid w:val="00615668"/>
    <w:rsid w:val="00657CF8"/>
    <w:rsid w:val="00672CAF"/>
    <w:rsid w:val="00692E4D"/>
    <w:rsid w:val="006A2AEF"/>
    <w:rsid w:val="006A5E4B"/>
    <w:rsid w:val="007278F8"/>
    <w:rsid w:val="00746A56"/>
    <w:rsid w:val="00794086"/>
    <w:rsid w:val="007D5109"/>
    <w:rsid w:val="0084217E"/>
    <w:rsid w:val="008A3451"/>
    <w:rsid w:val="009B720D"/>
    <w:rsid w:val="00A228DA"/>
    <w:rsid w:val="00A52B7E"/>
    <w:rsid w:val="00B960A0"/>
    <w:rsid w:val="00DD26F4"/>
    <w:rsid w:val="00E4293E"/>
    <w:rsid w:val="00EB59CC"/>
    <w:rsid w:val="00F1278C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B29A2B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5A4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6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5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8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3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6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F73A9B6F5EDB4E30B77F21FA8FC7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160B-D23A-4344-968F-81FFE55E7714}"/>
      </w:docPartPr>
      <w:docPartBody>
        <w:p w:rsidR="00000000" w:rsidRDefault="00F94B2E" w:rsidP="00F94B2E">
          <w:pPr>
            <w:pStyle w:val="F73A9B6F5EDB4E30B77F21FA8FC7EDFC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C1308F"/>
    <w:rsid w:val="00C52962"/>
    <w:rsid w:val="00F94B2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94B2E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  <w:style w:type="paragraph" w:customStyle="1" w:styleId="F73A9B6F5EDB4E30B77F21FA8FC7EDFC">
    <w:name w:val="F73A9B6F5EDB4E30B77F21FA8FC7EDFC"/>
    <w:rsid w:val="00F94B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Amanda Witzlib</cp:lastModifiedBy>
  <cp:revision>5</cp:revision>
  <dcterms:created xsi:type="dcterms:W3CDTF">2020-10-14T12:39:00Z</dcterms:created>
  <dcterms:modified xsi:type="dcterms:W3CDTF">2020-10-15T00:20:00Z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