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576"/>
      </w:tblGrid>
      <w:tr w:rsidR="005B248D" w14:paraId="457384C2" w14:textId="77777777" w:rsidTr="00292BEF">
        <w:tc>
          <w:tcPr>
            <w:tcW w:w="9576" w:type="dxa"/>
          </w:tcPr>
          <w:p w14:paraId="79337099" w14:textId="77777777" w:rsidR="005B248D" w:rsidRPr="00CA07DB" w:rsidRDefault="005B248D" w:rsidP="005B248D">
            <w:pPr>
              <w:rPr>
                <w:b/>
              </w:rPr>
            </w:pPr>
            <w:r>
              <w:rPr>
                <w:b/>
              </w:rPr>
              <w:t>Name:</w:t>
            </w:r>
          </w:p>
        </w:tc>
      </w:tr>
      <w:tr w:rsidR="005B248D" w14:paraId="7F348D13" w14:textId="77777777" w:rsidTr="00292BEF">
        <w:sdt>
          <w:sdtPr>
            <w:id w:val="1948428097"/>
            <w:placeholder>
              <w:docPart w:val="F2E26893BCD84EA9BFDF02597F4281E2"/>
            </w:placeholder>
          </w:sdtPr>
          <w:sdtEndPr/>
          <w:sdtContent>
            <w:tc>
              <w:tcPr>
                <w:tcW w:w="9576" w:type="dxa"/>
              </w:tcPr>
              <w:p w14:paraId="7BB8E4F5" w14:textId="77777777" w:rsidR="005B248D" w:rsidRDefault="00BE6723" w:rsidP="00875E38">
                <w:r>
                  <w:t>Grant Karlsson Ellifson</w:t>
                </w:r>
              </w:p>
            </w:tc>
          </w:sdtContent>
        </w:sdt>
      </w:tr>
      <w:tr w:rsidR="005B248D" w14:paraId="2B4751D5" w14:textId="77777777" w:rsidTr="00292BEF">
        <w:tc>
          <w:tcPr>
            <w:tcW w:w="9576" w:type="dxa"/>
          </w:tcPr>
          <w:p w14:paraId="1E151EB2" w14:textId="77777777" w:rsidR="005B248D" w:rsidRPr="00CA07DB" w:rsidRDefault="005B248D" w:rsidP="009F7390">
            <w:pPr>
              <w:rPr>
                <w:b/>
              </w:rPr>
            </w:pPr>
            <w:r>
              <w:rPr>
                <w:b/>
              </w:rPr>
              <w:t>Group:</w:t>
            </w:r>
          </w:p>
        </w:tc>
      </w:tr>
      <w:tr w:rsidR="005B248D" w14:paraId="2B57BA16" w14:textId="77777777" w:rsidTr="00292BEF">
        <w:sdt>
          <w:sdtPr>
            <w:id w:val="-1249565243"/>
            <w:lock w:val="sdtLocked"/>
            <w:placeholder>
              <w:docPart w:val="0C1F831231944884941B002104123B14"/>
            </w:placeholder>
          </w:sdtPr>
          <w:sdtEndPr/>
          <w:sdtContent>
            <w:tc>
              <w:tcPr>
                <w:tcW w:w="9576" w:type="dxa"/>
              </w:tcPr>
              <w:p w14:paraId="6A1B1093" w14:textId="77777777" w:rsidR="005B248D" w:rsidRDefault="00BE6723" w:rsidP="009F7390">
                <w:r>
                  <w:t>4A-1</w:t>
                </w:r>
              </w:p>
            </w:tc>
          </w:sdtContent>
        </w:sdt>
      </w:tr>
      <w:tr w:rsidR="005B248D" w14:paraId="63404BA6" w14:textId="77777777" w:rsidTr="00292BEF">
        <w:tc>
          <w:tcPr>
            <w:tcW w:w="9576" w:type="dxa"/>
          </w:tcPr>
          <w:p w14:paraId="5F8A99EF" w14:textId="77777777" w:rsidR="005B248D" w:rsidRPr="00CA07DB" w:rsidRDefault="005B248D" w:rsidP="009F7390">
            <w:pPr>
              <w:rPr>
                <w:b/>
              </w:rPr>
            </w:pPr>
            <w:r>
              <w:rPr>
                <w:b/>
              </w:rPr>
              <w:t>Pathology Question:</w:t>
            </w:r>
          </w:p>
        </w:tc>
      </w:tr>
      <w:tr w:rsidR="005B248D" w14:paraId="701F39DB" w14:textId="77777777" w:rsidTr="00292BEF">
        <w:sdt>
          <w:sdtPr>
            <w:id w:val="-343781582"/>
            <w:placeholder>
              <w:docPart w:val="C2A396B847314DF0ADF6C271A1B398D3"/>
            </w:placeholder>
          </w:sdtPr>
          <w:sdtEndPr/>
          <w:sdtContent>
            <w:tc>
              <w:tcPr>
                <w:tcW w:w="9576" w:type="dxa"/>
              </w:tcPr>
              <w:p w14:paraId="34A319BD" w14:textId="77777777" w:rsidR="005B248D" w:rsidRDefault="00BE6723" w:rsidP="00292BEF">
                <w:r>
                  <w:t>What causes implants to fail?</w:t>
                </w:r>
              </w:p>
            </w:tc>
          </w:sdtContent>
        </w:sdt>
      </w:tr>
      <w:tr w:rsidR="005B248D" w14:paraId="602C4986" w14:textId="77777777" w:rsidTr="00292BEF">
        <w:tc>
          <w:tcPr>
            <w:tcW w:w="9576" w:type="dxa"/>
          </w:tcPr>
          <w:p w14:paraId="78FB6A5C" w14:textId="77777777" w:rsidR="005B248D" w:rsidRPr="00CA07DB" w:rsidRDefault="005B248D" w:rsidP="00292BEF">
            <w:pPr>
              <w:rPr>
                <w:b/>
              </w:rPr>
            </w:pPr>
            <w:r>
              <w:rPr>
                <w:b/>
              </w:rPr>
              <w:t>Report:</w:t>
            </w:r>
          </w:p>
        </w:tc>
      </w:tr>
      <w:tr w:rsidR="005B248D" w14:paraId="1018FE1F" w14:textId="77777777" w:rsidTr="00292BEF">
        <w:sdt>
          <w:sdtPr>
            <w:id w:val="1692803440"/>
            <w:placeholder>
              <w:docPart w:val="9336E9D6F9224F80AC2C705B2AEB9EB2"/>
            </w:placeholder>
          </w:sdtPr>
          <w:sdtEndPr/>
          <w:sdtContent>
            <w:tc>
              <w:tcPr>
                <w:tcW w:w="9576" w:type="dxa"/>
              </w:tcPr>
              <w:sdt>
                <w:sdtPr>
                  <w:id w:val="-1567495028"/>
                  <w:placeholder>
                    <w:docPart w:val="D42704997D832940842470B157680C27"/>
                  </w:placeholder>
                </w:sdtPr>
                <w:sdtEndPr/>
                <w:sdtContent>
                  <w:p w14:paraId="1E0D8E7F" w14:textId="77777777" w:rsidR="00A37823" w:rsidRDefault="00A37823" w:rsidP="00A37823">
                    <w:r>
                      <w:t>Implant failure occurs when the implant fails to achieve its function (Al-Sabbagh and Bhavsar, 2015). Failure can be grouped into four categories. The first form of failure occurs when osseointegration is not achieved or sustained. The second form is associated with mechanical failure of the implant, abutment, or prosthesis. The third type of failure occurs when the implant, abutment, or prosthesis violates anatomic structures. The fourth type of failure is characterized by adaptation failure that involves patient related lack of satisfaction with the treatment outcome. (Esposito et al., 1998)</w:t>
                    </w:r>
                  </w:p>
                  <w:p w14:paraId="0920586F" w14:textId="77777777" w:rsidR="00A37823" w:rsidRDefault="00A37823" w:rsidP="00A37823"/>
                  <w:p w14:paraId="38ED59F0" w14:textId="184F18D5" w:rsidR="00A37823" w:rsidRDefault="00A37823" w:rsidP="00A37823">
                    <w:r>
                      <w:t>Osseointegration is defined as “</w:t>
                    </w:r>
                    <w:r>
                      <w:rPr>
                        <w:i/>
                        <w:iCs/>
                        <w:color w:val="000000"/>
                        <w:shd w:val="clear" w:color="auto" w:fill="FFFFFF"/>
                      </w:rPr>
                      <w:t xml:space="preserve">a direct connection between living bone and a load-carrying </w:t>
                    </w:r>
                    <w:proofErr w:type="spellStart"/>
                    <w:r>
                      <w:rPr>
                        <w:i/>
                        <w:iCs/>
                        <w:color w:val="000000"/>
                        <w:shd w:val="clear" w:color="auto" w:fill="FFFFFF"/>
                      </w:rPr>
                      <w:t>endosseous</w:t>
                    </w:r>
                    <w:proofErr w:type="spellEnd"/>
                    <w:r>
                      <w:rPr>
                        <w:i/>
                        <w:iCs/>
                        <w:color w:val="000000"/>
                        <w:shd w:val="clear" w:color="auto" w:fill="FFFFFF"/>
                      </w:rPr>
                      <w:t xml:space="preserve"> implant at the light microscopic level</w:t>
                    </w:r>
                    <w:r>
                      <w:t>“</w:t>
                    </w:r>
                    <w:r w:rsidR="00586FBC">
                      <w:t xml:space="preserve">, and it is critical for the success of the implant </w:t>
                    </w:r>
                    <w:r>
                      <w:t>(</w:t>
                    </w:r>
                    <w:proofErr w:type="spellStart"/>
                    <w:r>
                      <w:t>Branemark</w:t>
                    </w:r>
                    <w:proofErr w:type="spellEnd"/>
                    <w:r>
                      <w:t xml:space="preserve"> and </w:t>
                    </w:r>
                    <w:proofErr w:type="spellStart"/>
                    <w:r>
                      <w:t>Chien</w:t>
                    </w:r>
                    <w:proofErr w:type="spellEnd"/>
                    <w:r>
                      <w:t>, 2005). Osseointegration failure can occur at two main timepoints in the implant treatment: early and late. Early failure occurs when osseointegration is not achieved during the normal bone healing process. Early failure is exhibited by peri-implant radiolucency and implant mobility (Al-Sabbagh and Bhavsar, 2015). Risk factors for early failure include trauma, bacterial contamination, delayed wound healing, and premature loading of the implant. Late failure occurs when osseointegration is not sustained. This form of failure is associated with peri-implantitis. Peri-implantitis is exhibited by bone loss surrounding the implant and bleeding on probing. Risk factors for late failure and peri-implantitis include lack of regular supportive therapy, poor oral hygiene, and smoking (Jepson et al., 2015).</w:t>
                    </w:r>
                  </w:p>
                  <w:p w14:paraId="04A02E33" w14:textId="77777777" w:rsidR="005B248D" w:rsidRDefault="00A37823" w:rsidP="00A37823">
                    <w:pPr>
                      <w:pStyle w:val="NormalWeb"/>
                    </w:pPr>
                    <w:r>
                      <w:t>Generalized risk factors for implant failure are varied. They can be host related factors or external factors. The most well supported host related factors include metabolic diseases, smokin</w:t>
                    </w:r>
                    <w:r w:rsidR="00C97922">
                      <w:t>g</w:t>
                    </w:r>
                    <w:r>
                      <w:t>,</w:t>
                    </w:r>
                    <w:r w:rsidR="00C97922">
                      <w:t xml:space="preserve"> poor</w:t>
                    </w:r>
                    <w:r>
                      <w:t xml:space="preserve"> oral hygiene, history of periodontal disease, </w:t>
                    </w:r>
                    <w:r w:rsidR="00C97922">
                      <w:t xml:space="preserve">poor </w:t>
                    </w:r>
                    <w:r>
                      <w:t xml:space="preserve">bone quantity and quality, and </w:t>
                    </w:r>
                    <w:r w:rsidR="00C97922">
                      <w:t xml:space="preserve">limited </w:t>
                    </w:r>
                    <w:r>
                      <w:t>width of keratinized gingiva. External</w:t>
                    </w:r>
                    <w:r w:rsidR="00C97922">
                      <w:t xml:space="preserve"> risk</w:t>
                    </w:r>
                    <w:r>
                      <w:t xml:space="preserve"> factors include operator </w:t>
                    </w:r>
                    <w:r w:rsidR="00C97922">
                      <w:t>in</w:t>
                    </w:r>
                    <w:r>
                      <w:t xml:space="preserve">experience, </w:t>
                    </w:r>
                    <w:r w:rsidR="00C97922">
                      <w:t xml:space="preserve">poor </w:t>
                    </w:r>
                    <w:r>
                      <w:t>aseptic technique,</w:t>
                    </w:r>
                    <w:r w:rsidR="00C97922">
                      <w:t xml:space="preserve"> poor</w:t>
                    </w:r>
                    <w:r>
                      <w:t xml:space="preserve"> surgical technique, and </w:t>
                    </w:r>
                    <w:r w:rsidR="00C97922">
                      <w:t xml:space="preserve">non-optimal </w:t>
                    </w:r>
                    <w:r>
                      <w:t>implant design (Al-Sabbagh and Bhavsar, 2015).</w:t>
                    </w:r>
                  </w:p>
                </w:sdtContent>
              </w:sdt>
            </w:tc>
          </w:sdtContent>
        </w:sdt>
      </w:tr>
      <w:tr w:rsidR="005B248D" w14:paraId="1E4697D7" w14:textId="77777777" w:rsidTr="00292BEF">
        <w:tc>
          <w:tcPr>
            <w:tcW w:w="9576" w:type="dxa"/>
          </w:tcPr>
          <w:p w14:paraId="29D9A974" w14:textId="77777777" w:rsidR="005B248D" w:rsidRPr="00CA07DB" w:rsidRDefault="005B248D" w:rsidP="00187B59">
            <w:pPr>
              <w:rPr>
                <w:b/>
              </w:rPr>
            </w:pPr>
            <w:r>
              <w:rPr>
                <w:b/>
              </w:rPr>
              <w:t>References:</w:t>
            </w:r>
          </w:p>
        </w:tc>
      </w:tr>
      <w:tr w:rsidR="005B248D" w14:paraId="67D56EDD" w14:textId="77777777" w:rsidTr="00292BEF">
        <w:sdt>
          <w:sdtPr>
            <w:id w:val="-185608296"/>
            <w:placeholder>
              <w:docPart w:val="01EE0CA9C12F4469953EF8B58FF95299"/>
            </w:placeholder>
          </w:sdtPr>
          <w:sdtEndPr/>
          <w:sdtContent>
            <w:tc>
              <w:tcPr>
                <w:tcW w:w="9576" w:type="dxa"/>
              </w:tcPr>
              <w:p w14:paraId="153BDEA3" w14:textId="77777777" w:rsidR="002567CB" w:rsidRPr="002567CB" w:rsidRDefault="002567CB" w:rsidP="002567CB">
                <w:pPr>
                  <w:pStyle w:val="ListParagraph"/>
                  <w:numPr>
                    <w:ilvl w:val="0"/>
                    <w:numId w:val="4"/>
                  </w:numPr>
                  <w:rPr>
                    <w:color w:val="000000" w:themeColor="text1"/>
                    <w:shd w:val="clear" w:color="auto" w:fill="FFFFFF"/>
                  </w:rPr>
                </w:pPr>
                <w:r w:rsidRPr="002567CB">
                  <w:rPr>
                    <w:color w:val="000000" w:themeColor="text1"/>
                    <w:shd w:val="clear" w:color="auto" w:fill="FFFFFF"/>
                  </w:rPr>
                  <w:t>Al-Sabbagh, M., &amp; Bhavsar, I. (2015). Key Local and Surgical Factors Related to Implant Failure. </w:t>
                </w:r>
                <w:r w:rsidRPr="002567CB">
                  <w:rPr>
                    <w:i/>
                    <w:iCs/>
                    <w:color w:val="000000" w:themeColor="text1"/>
                    <w:shd w:val="clear" w:color="auto" w:fill="FFFFFF"/>
                  </w:rPr>
                  <w:t>Dental Clinics of North America,59</w:t>
                </w:r>
                <w:r w:rsidRPr="002567CB">
                  <w:rPr>
                    <w:color w:val="000000" w:themeColor="text1"/>
                    <w:shd w:val="clear" w:color="auto" w:fill="FFFFFF"/>
                  </w:rPr>
                  <w:t xml:space="preserve">(1), 1-23. </w:t>
                </w:r>
                <w:proofErr w:type="gramStart"/>
                <w:r w:rsidRPr="002567CB">
                  <w:rPr>
                    <w:color w:val="000000" w:themeColor="text1"/>
                    <w:shd w:val="clear" w:color="auto" w:fill="FFFFFF"/>
                  </w:rPr>
                  <w:t>doi:10.1016/j.cden</w:t>
                </w:r>
                <w:proofErr w:type="gramEnd"/>
                <w:r w:rsidRPr="002567CB">
                  <w:rPr>
                    <w:color w:val="000000" w:themeColor="text1"/>
                    <w:shd w:val="clear" w:color="auto" w:fill="FFFFFF"/>
                  </w:rPr>
                  <w:t>.2014.09.001</w:t>
                </w:r>
              </w:p>
              <w:p w14:paraId="34D8CA4A" w14:textId="77777777" w:rsidR="00BC738E" w:rsidRPr="00BC738E" w:rsidRDefault="00BC738E" w:rsidP="00BC738E">
                <w:pPr>
                  <w:pStyle w:val="ListParagraph"/>
                  <w:numPr>
                    <w:ilvl w:val="0"/>
                    <w:numId w:val="4"/>
                  </w:numPr>
                  <w:rPr>
                    <w:color w:val="000000" w:themeColor="text1"/>
                    <w:shd w:val="clear" w:color="auto" w:fill="FFFFFF"/>
                  </w:rPr>
                </w:pPr>
                <w:r w:rsidRPr="00BC738E">
                  <w:rPr>
                    <w:color w:val="000000" w:themeColor="text1"/>
                    <w:shd w:val="clear" w:color="auto" w:fill="FFFFFF"/>
                  </w:rPr>
                  <w:t xml:space="preserve">Esposito, M., Hirsch, J., </w:t>
                </w:r>
                <w:proofErr w:type="spellStart"/>
                <w:r w:rsidRPr="00BC738E">
                  <w:rPr>
                    <w:color w:val="000000" w:themeColor="text1"/>
                    <w:shd w:val="clear" w:color="auto" w:fill="FFFFFF"/>
                  </w:rPr>
                  <w:t>Lekholm</w:t>
                </w:r>
                <w:proofErr w:type="spellEnd"/>
                <w:r w:rsidRPr="00BC738E">
                  <w:rPr>
                    <w:color w:val="000000" w:themeColor="text1"/>
                    <w:shd w:val="clear" w:color="auto" w:fill="FFFFFF"/>
                  </w:rPr>
                  <w:t xml:space="preserve">, U., &amp; Thomsen, P. (1998). Biological factors contributing to failures of </w:t>
                </w:r>
                <w:proofErr w:type="spellStart"/>
                <w:r w:rsidRPr="00BC738E">
                  <w:rPr>
                    <w:color w:val="000000" w:themeColor="text1"/>
                    <w:shd w:val="clear" w:color="auto" w:fill="FFFFFF"/>
                  </w:rPr>
                  <w:t>osseointegrated</w:t>
                </w:r>
                <w:proofErr w:type="spellEnd"/>
                <w:r w:rsidRPr="00BC738E">
                  <w:rPr>
                    <w:color w:val="000000" w:themeColor="text1"/>
                    <w:shd w:val="clear" w:color="auto" w:fill="FFFFFF"/>
                  </w:rPr>
                  <w:t xml:space="preserve"> oral implants, (II). Etiopathogenesis. </w:t>
                </w:r>
                <w:r w:rsidRPr="00BC738E">
                  <w:rPr>
                    <w:i/>
                    <w:iCs/>
                    <w:color w:val="000000" w:themeColor="text1"/>
                    <w:shd w:val="clear" w:color="auto" w:fill="FFFFFF"/>
                  </w:rPr>
                  <w:t>European Journal of Oral Sciences,106</w:t>
                </w:r>
                <w:r w:rsidRPr="00BC738E">
                  <w:rPr>
                    <w:color w:val="000000" w:themeColor="text1"/>
                    <w:shd w:val="clear" w:color="auto" w:fill="FFFFFF"/>
                  </w:rPr>
                  <w:t>(3), 721-764. doi:10.1046/j.0909-</w:t>
                </w:r>
                <w:proofErr w:type="gramStart"/>
                <w:r w:rsidRPr="00BC738E">
                  <w:rPr>
                    <w:color w:val="000000" w:themeColor="text1"/>
                    <w:shd w:val="clear" w:color="auto" w:fill="FFFFFF"/>
                  </w:rPr>
                  <w:t>8836..</w:t>
                </w:r>
                <w:proofErr w:type="gramEnd"/>
                <w:r w:rsidRPr="00BC738E">
                  <w:rPr>
                    <w:color w:val="000000" w:themeColor="text1"/>
                    <w:shd w:val="clear" w:color="auto" w:fill="FFFFFF"/>
                  </w:rPr>
                  <w:t>t01-6-.x</w:t>
                </w:r>
              </w:p>
              <w:p w14:paraId="7BD53FC3" w14:textId="77777777" w:rsidR="00BC738E" w:rsidRPr="002567CB" w:rsidRDefault="002567CB" w:rsidP="002567CB">
                <w:pPr>
                  <w:pStyle w:val="ListParagraph"/>
                  <w:numPr>
                    <w:ilvl w:val="0"/>
                    <w:numId w:val="4"/>
                  </w:numPr>
                  <w:rPr>
                    <w:color w:val="000000" w:themeColor="text1"/>
                  </w:rPr>
                </w:pPr>
                <w:proofErr w:type="spellStart"/>
                <w:r w:rsidRPr="002567CB">
                  <w:rPr>
                    <w:color w:val="000000" w:themeColor="text1"/>
                    <w:shd w:val="clear" w:color="auto" w:fill="FFFFFF"/>
                  </w:rPr>
                  <w:t>Branemark</w:t>
                </w:r>
                <w:proofErr w:type="spellEnd"/>
                <w:r w:rsidRPr="002567CB">
                  <w:rPr>
                    <w:color w:val="000000" w:themeColor="text1"/>
                    <w:shd w:val="clear" w:color="auto" w:fill="FFFFFF"/>
                  </w:rPr>
                  <w:t xml:space="preserve">, P., &amp; </w:t>
                </w:r>
                <w:proofErr w:type="spellStart"/>
                <w:r w:rsidRPr="002567CB">
                  <w:rPr>
                    <w:color w:val="000000" w:themeColor="text1"/>
                    <w:shd w:val="clear" w:color="auto" w:fill="FFFFFF"/>
                  </w:rPr>
                  <w:t>Chien</w:t>
                </w:r>
                <w:proofErr w:type="spellEnd"/>
                <w:r w:rsidRPr="002567CB">
                  <w:rPr>
                    <w:color w:val="000000" w:themeColor="text1"/>
                    <w:shd w:val="clear" w:color="auto" w:fill="FFFFFF"/>
                  </w:rPr>
                  <w:t>, S. (2005).</w:t>
                </w:r>
                <w:r w:rsidRPr="002567CB">
                  <w:rPr>
                    <w:rStyle w:val="apple-converted-space"/>
                    <w:color w:val="000000" w:themeColor="text1"/>
                    <w:shd w:val="clear" w:color="auto" w:fill="FFFFFF"/>
                  </w:rPr>
                  <w:t> </w:t>
                </w:r>
                <w:r w:rsidRPr="002567CB">
                  <w:rPr>
                    <w:i/>
                    <w:iCs/>
                    <w:color w:val="000000" w:themeColor="text1"/>
                    <w:shd w:val="clear" w:color="auto" w:fill="FFFFFF"/>
                  </w:rPr>
                  <w:t>The osseointegration book from calvarium to calcaneus</w:t>
                </w:r>
                <w:r w:rsidRPr="002567CB">
                  <w:rPr>
                    <w:color w:val="000000" w:themeColor="text1"/>
                    <w:shd w:val="clear" w:color="auto" w:fill="FFFFFF"/>
                  </w:rPr>
                  <w:t xml:space="preserve">. Berlin: </w:t>
                </w:r>
                <w:proofErr w:type="spellStart"/>
                <w:r w:rsidRPr="002567CB">
                  <w:rPr>
                    <w:color w:val="000000" w:themeColor="text1"/>
                    <w:shd w:val="clear" w:color="auto" w:fill="FFFFFF"/>
                  </w:rPr>
                  <w:t>Quintessenz</w:t>
                </w:r>
                <w:proofErr w:type="spellEnd"/>
                <w:r w:rsidRPr="002567CB">
                  <w:rPr>
                    <w:color w:val="000000" w:themeColor="text1"/>
                    <w:shd w:val="clear" w:color="auto" w:fill="FFFFFF"/>
                  </w:rPr>
                  <w:t>-</w:t>
                </w:r>
                <w:proofErr w:type="spellStart"/>
                <w:proofErr w:type="gramStart"/>
                <w:r w:rsidRPr="002567CB">
                  <w:rPr>
                    <w:color w:val="000000" w:themeColor="text1"/>
                    <w:shd w:val="clear" w:color="auto" w:fill="FFFFFF"/>
                  </w:rPr>
                  <w:t>Verl</w:t>
                </w:r>
                <w:proofErr w:type="spellEnd"/>
                <w:r w:rsidRPr="002567CB">
                  <w:rPr>
                    <w:color w:val="000000" w:themeColor="text1"/>
                    <w:shd w:val="clear" w:color="auto" w:fill="FFFFFF"/>
                  </w:rPr>
                  <w:t>.-</w:t>
                </w:r>
                <w:proofErr w:type="gramEnd"/>
                <w:r w:rsidRPr="002567CB">
                  <w:rPr>
                    <w:color w:val="000000" w:themeColor="text1"/>
                    <w:shd w:val="clear" w:color="auto" w:fill="FFFFFF"/>
                  </w:rPr>
                  <w:t>GmbH.</w:t>
                </w:r>
              </w:p>
              <w:p w14:paraId="3EFC1599" w14:textId="77777777" w:rsidR="005B248D" w:rsidRPr="00BC738E" w:rsidRDefault="00BC738E" w:rsidP="00BC738E">
                <w:pPr>
                  <w:pStyle w:val="ListParagraph"/>
                  <w:numPr>
                    <w:ilvl w:val="0"/>
                    <w:numId w:val="4"/>
                  </w:numPr>
                  <w:rPr>
                    <w:color w:val="000000" w:themeColor="text1"/>
                  </w:rPr>
                </w:pPr>
                <w:r w:rsidRPr="00BC738E">
                  <w:rPr>
                    <w:color w:val="000000" w:themeColor="text1"/>
                    <w:shd w:val="clear" w:color="auto" w:fill="FFFFFF"/>
                  </w:rPr>
                  <w:t xml:space="preserve">Jepsen, S., </w:t>
                </w:r>
                <w:proofErr w:type="spellStart"/>
                <w:r w:rsidRPr="00BC738E">
                  <w:rPr>
                    <w:color w:val="000000" w:themeColor="text1"/>
                    <w:shd w:val="clear" w:color="auto" w:fill="FFFFFF"/>
                  </w:rPr>
                  <w:t>Berglundh</w:t>
                </w:r>
                <w:proofErr w:type="spellEnd"/>
                <w:r w:rsidRPr="00BC738E">
                  <w:rPr>
                    <w:color w:val="000000" w:themeColor="text1"/>
                    <w:shd w:val="clear" w:color="auto" w:fill="FFFFFF"/>
                  </w:rPr>
                  <w:t xml:space="preserve">, T., Genco, R., </w:t>
                </w:r>
                <w:proofErr w:type="spellStart"/>
                <w:r w:rsidRPr="00BC738E">
                  <w:rPr>
                    <w:color w:val="000000" w:themeColor="text1"/>
                    <w:shd w:val="clear" w:color="auto" w:fill="FFFFFF"/>
                  </w:rPr>
                  <w:t>Aass</w:t>
                </w:r>
                <w:proofErr w:type="spellEnd"/>
                <w:r w:rsidRPr="00BC738E">
                  <w:rPr>
                    <w:color w:val="000000" w:themeColor="text1"/>
                    <w:shd w:val="clear" w:color="auto" w:fill="FFFFFF"/>
                  </w:rPr>
                  <w:t xml:space="preserve">, A. M., </w:t>
                </w:r>
                <w:proofErr w:type="spellStart"/>
                <w:r w:rsidRPr="00BC738E">
                  <w:rPr>
                    <w:color w:val="000000" w:themeColor="text1"/>
                    <w:shd w:val="clear" w:color="auto" w:fill="FFFFFF"/>
                  </w:rPr>
                  <w:t>Demirel</w:t>
                </w:r>
                <w:proofErr w:type="spellEnd"/>
                <w:r w:rsidRPr="00BC738E">
                  <w:rPr>
                    <w:color w:val="000000" w:themeColor="text1"/>
                    <w:shd w:val="clear" w:color="auto" w:fill="FFFFFF"/>
                  </w:rPr>
                  <w:t xml:space="preserve">, K., Derks, J., . . . </w:t>
                </w:r>
                <w:proofErr w:type="spellStart"/>
                <w:r w:rsidRPr="00BC738E">
                  <w:rPr>
                    <w:color w:val="000000" w:themeColor="text1"/>
                    <w:shd w:val="clear" w:color="auto" w:fill="FFFFFF"/>
                  </w:rPr>
                  <w:t>Zitzmann</w:t>
                </w:r>
                <w:proofErr w:type="spellEnd"/>
                <w:r w:rsidRPr="00BC738E">
                  <w:rPr>
                    <w:color w:val="000000" w:themeColor="text1"/>
                    <w:shd w:val="clear" w:color="auto" w:fill="FFFFFF"/>
                  </w:rPr>
                  <w:t xml:space="preserve">, N. U. (2015). Primary prevention of peri-implantitis: Managing peri-implant </w:t>
                </w:r>
                <w:r w:rsidRPr="00BC738E">
                  <w:rPr>
                    <w:color w:val="000000" w:themeColor="text1"/>
                    <w:shd w:val="clear" w:color="auto" w:fill="FFFFFF"/>
                  </w:rPr>
                  <w:lastRenderedPageBreak/>
                  <w:t>mucositis. </w:t>
                </w:r>
                <w:r w:rsidRPr="00BC738E">
                  <w:rPr>
                    <w:i/>
                    <w:iCs/>
                    <w:color w:val="000000" w:themeColor="text1"/>
                    <w:shd w:val="clear" w:color="auto" w:fill="FFFFFF"/>
                  </w:rPr>
                  <w:t>Journal of Clinical Periodontology,42</w:t>
                </w:r>
                <w:r w:rsidRPr="00BC738E">
                  <w:rPr>
                    <w:color w:val="000000" w:themeColor="text1"/>
                    <w:shd w:val="clear" w:color="auto" w:fill="FFFFFF"/>
                  </w:rPr>
                  <w:t>. doi:10.1111/jcpe.12369</w:t>
                </w:r>
              </w:p>
            </w:tc>
          </w:sdtContent>
        </w:sdt>
      </w:tr>
    </w:tbl>
    <w:p w14:paraId="020AFDCA" w14:textId="77777777" w:rsidR="00DF1FAB" w:rsidRPr="00292BEF" w:rsidRDefault="00DF1FAB" w:rsidP="00292BEF"/>
    <w:sectPr w:rsidR="00DF1FAB" w:rsidRPr="00292BEF" w:rsidSect="00C42AE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696FD" w14:textId="77777777" w:rsidR="00545494" w:rsidRDefault="00545494" w:rsidP="00292BEF">
      <w:r>
        <w:separator/>
      </w:r>
    </w:p>
  </w:endnote>
  <w:endnote w:type="continuationSeparator" w:id="0">
    <w:p w14:paraId="479074AE" w14:textId="77777777" w:rsidR="00545494" w:rsidRDefault="00545494"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96E06" w14:textId="77777777" w:rsidR="00545494" w:rsidRDefault="00545494" w:rsidP="00292BEF">
      <w:r>
        <w:separator/>
      </w:r>
    </w:p>
  </w:footnote>
  <w:footnote w:type="continuationSeparator" w:id="0">
    <w:p w14:paraId="5C2781E8" w14:textId="77777777" w:rsidR="00545494" w:rsidRDefault="00545494"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D096F" w14:textId="77777777" w:rsidR="00292BEF" w:rsidRPr="00292BEF" w:rsidRDefault="00292BEF" w:rsidP="00292BEF">
    <w:pPr>
      <w:pStyle w:val="Header"/>
      <w:jc w:val="right"/>
      <w:rPr>
        <w:sz w:val="28"/>
      </w:rPr>
    </w:pPr>
    <w:r w:rsidRPr="00292BEF">
      <w:rPr>
        <w:sz w:val="28"/>
      </w:rPr>
      <w:t>MUSoD Rounds</w:t>
    </w:r>
  </w:p>
  <w:p w14:paraId="2C8FE3EE" w14:textId="77777777"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14:paraId="2727FE00" w14:textId="77777777" w:rsidR="00292BEF" w:rsidRDefault="00292BEF" w:rsidP="00292BEF">
    <w:pPr>
      <w:pStyle w:val="Header"/>
      <w:jc w:val="right"/>
      <w:rPr>
        <w:sz w:val="28"/>
      </w:rPr>
    </w:pPr>
  </w:p>
  <w:p w14:paraId="444805FD" w14:textId="77777777" w:rsidR="00292BEF" w:rsidRPr="00292BEF" w:rsidRDefault="00292BEF" w:rsidP="00292BEF">
    <w:pPr>
      <w:pStyle w:val="Header"/>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26E79"/>
    <w:multiLevelType w:val="hybridMultilevel"/>
    <w:tmpl w:val="615A5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A70263"/>
    <w:multiLevelType w:val="hybridMultilevel"/>
    <w:tmpl w:val="FF48F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707984"/>
    <w:multiLevelType w:val="hybridMultilevel"/>
    <w:tmpl w:val="BF04776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950512"/>
    <w:multiLevelType w:val="hybridMultilevel"/>
    <w:tmpl w:val="D6228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BEF"/>
    <w:rsid w:val="00036D78"/>
    <w:rsid w:val="001723D4"/>
    <w:rsid w:val="00187B59"/>
    <w:rsid w:val="0019159E"/>
    <w:rsid w:val="002223D1"/>
    <w:rsid w:val="00246C4B"/>
    <w:rsid w:val="002567CB"/>
    <w:rsid w:val="00292BEF"/>
    <w:rsid w:val="00306D6B"/>
    <w:rsid w:val="003174AE"/>
    <w:rsid w:val="00343D87"/>
    <w:rsid w:val="003E06A4"/>
    <w:rsid w:val="004C6910"/>
    <w:rsid w:val="00545494"/>
    <w:rsid w:val="005654FC"/>
    <w:rsid w:val="00586FBC"/>
    <w:rsid w:val="005B248D"/>
    <w:rsid w:val="006A11E8"/>
    <w:rsid w:val="00722D0C"/>
    <w:rsid w:val="007B6610"/>
    <w:rsid w:val="008C176E"/>
    <w:rsid w:val="009A073A"/>
    <w:rsid w:val="009F7390"/>
    <w:rsid w:val="00A37823"/>
    <w:rsid w:val="00B50056"/>
    <w:rsid w:val="00BC738E"/>
    <w:rsid w:val="00BE6723"/>
    <w:rsid w:val="00C42AED"/>
    <w:rsid w:val="00C90ED3"/>
    <w:rsid w:val="00C97922"/>
    <w:rsid w:val="00CA07DB"/>
    <w:rsid w:val="00CD3497"/>
    <w:rsid w:val="00D37A7E"/>
    <w:rsid w:val="00DF1FAB"/>
    <w:rsid w:val="00E05B1E"/>
    <w:rsid w:val="00F4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38FED"/>
  <w15:docId w15:val="{CBC19C88-03F0-D240-95A4-86379D6A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C176E"/>
    <w:rPr>
      <w:sz w:val="24"/>
      <w:szCs w:val="24"/>
    </w:rPr>
  </w:style>
  <w:style w:type="paragraph" w:styleId="Heading1">
    <w:name w:val="heading 1"/>
    <w:basedOn w:val="Normal"/>
    <w:next w:val="Normal"/>
    <w:link w:val="Heading1Char"/>
    <w:qFormat/>
    <w:locked/>
    <w:rsid w:val="002223D1"/>
    <w:pPr>
      <w:keepNext/>
      <w:widowControl w:val="0"/>
      <w:spacing w:before="240" w:after="60"/>
      <w:outlineLvl w:val="0"/>
    </w:pPr>
    <w:rPr>
      <w:rFonts w:ascii="Cambria" w:hAnsi="Cambria"/>
      <w:b/>
      <w:bCs/>
      <w:snapToGrid w:val="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widowControl w:val="0"/>
      <w:tabs>
        <w:tab w:val="center" w:pos="4680"/>
        <w:tab w:val="right" w:pos="9360"/>
      </w:tabs>
    </w:pPr>
    <w:rPr>
      <w:snapToGrid w:val="0"/>
      <w:szCs w:val="20"/>
    </w:r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widowControl w:val="0"/>
      <w:tabs>
        <w:tab w:val="center" w:pos="4680"/>
        <w:tab w:val="right" w:pos="9360"/>
      </w:tabs>
    </w:pPr>
    <w:rPr>
      <w:snapToGrid w:val="0"/>
      <w:szCs w:val="20"/>
    </w:r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pPr>
      <w:widowControl w:val="0"/>
    </w:pPr>
    <w:rPr>
      <w:rFonts w:ascii="Tahoma" w:hAnsi="Tahoma" w:cs="Tahoma"/>
      <w:snapToGrid w:val="0"/>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NormalWeb">
    <w:name w:val="Normal (Web)"/>
    <w:basedOn w:val="Normal"/>
    <w:uiPriority w:val="99"/>
    <w:unhideWhenUsed/>
    <w:locked/>
    <w:rsid w:val="00CD3497"/>
    <w:pPr>
      <w:spacing w:before="100" w:beforeAutospacing="1" w:after="100" w:afterAutospacing="1"/>
    </w:pPr>
  </w:style>
  <w:style w:type="paragraph" w:styleId="ListParagraph">
    <w:name w:val="List Paragraph"/>
    <w:basedOn w:val="Normal"/>
    <w:uiPriority w:val="34"/>
    <w:qFormat/>
    <w:locked/>
    <w:rsid w:val="008C176E"/>
    <w:pPr>
      <w:widowControl w:val="0"/>
      <w:ind w:left="720"/>
      <w:contextualSpacing/>
    </w:pPr>
    <w:rPr>
      <w:snapToGrid w:val="0"/>
      <w:szCs w:val="20"/>
    </w:rPr>
  </w:style>
  <w:style w:type="character" w:customStyle="1" w:styleId="apple-converted-space">
    <w:name w:val="apple-converted-space"/>
    <w:basedOn w:val="DefaultParagraphFont"/>
    <w:rsid w:val="008C1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34696">
      <w:bodyDiv w:val="1"/>
      <w:marLeft w:val="0"/>
      <w:marRight w:val="0"/>
      <w:marTop w:val="0"/>
      <w:marBottom w:val="0"/>
      <w:divBdr>
        <w:top w:val="none" w:sz="0" w:space="0" w:color="auto"/>
        <w:left w:val="none" w:sz="0" w:space="0" w:color="auto"/>
        <w:bottom w:val="none" w:sz="0" w:space="0" w:color="auto"/>
        <w:right w:val="none" w:sz="0" w:space="0" w:color="auto"/>
      </w:divBdr>
    </w:div>
    <w:div w:id="483931240">
      <w:bodyDiv w:val="1"/>
      <w:marLeft w:val="0"/>
      <w:marRight w:val="0"/>
      <w:marTop w:val="0"/>
      <w:marBottom w:val="0"/>
      <w:divBdr>
        <w:top w:val="none" w:sz="0" w:space="0" w:color="auto"/>
        <w:left w:val="none" w:sz="0" w:space="0" w:color="auto"/>
        <w:bottom w:val="none" w:sz="0" w:space="0" w:color="auto"/>
        <w:right w:val="none" w:sz="0" w:space="0" w:color="auto"/>
      </w:divBdr>
      <w:divsChild>
        <w:div w:id="458649725">
          <w:marLeft w:val="0"/>
          <w:marRight w:val="0"/>
          <w:marTop w:val="0"/>
          <w:marBottom w:val="0"/>
          <w:divBdr>
            <w:top w:val="none" w:sz="0" w:space="0" w:color="auto"/>
            <w:left w:val="none" w:sz="0" w:space="0" w:color="auto"/>
            <w:bottom w:val="none" w:sz="0" w:space="0" w:color="auto"/>
            <w:right w:val="none" w:sz="0" w:space="0" w:color="auto"/>
          </w:divBdr>
          <w:divsChild>
            <w:div w:id="959802840">
              <w:marLeft w:val="0"/>
              <w:marRight w:val="0"/>
              <w:marTop w:val="0"/>
              <w:marBottom w:val="0"/>
              <w:divBdr>
                <w:top w:val="none" w:sz="0" w:space="0" w:color="auto"/>
                <w:left w:val="none" w:sz="0" w:space="0" w:color="auto"/>
                <w:bottom w:val="none" w:sz="0" w:space="0" w:color="auto"/>
                <w:right w:val="none" w:sz="0" w:space="0" w:color="auto"/>
              </w:divBdr>
              <w:divsChild>
                <w:div w:id="49264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877180">
      <w:bodyDiv w:val="1"/>
      <w:marLeft w:val="0"/>
      <w:marRight w:val="0"/>
      <w:marTop w:val="0"/>
      <w:marBottom w:val="0"/>
      <w:divBdr>
        <w:top w:val="none" w:sz="0" w:space="0" w:color="auto"/>
        <w:left w:val="none" w:sz="0" w:space="0" w:color="auto"/>
        <w:bottom w:val="none" w:sz="0" w:space="0" w:color="auto"/>
        <w:right w:val="none" w:sz="0" w:space="0" w:color="auto"/>
      </w:divBdr>
    </w:div>
    <w:div w:id="1161698902">
      <w:bodyDiv w:val="1"/>
      <w:marLeft w:val="0"/>
      <w:marRight w:val="0"/>
      <w:marTop w:val="0"/>
      <w:marBottom w:val="0"/>
      <w:divBdr>
        <w:top w:val="none" w:sz="0" w:space="0" w:color="auto"/>
        <w:left w:val="none" w:sz="0" w:space="0" w:color="auto"/>
        <w:bottom w:val="none" w:sz="0" w:space="0" w:color="auto"/>
        <w:right w:val="none" w:sz="0" w:space="0" w:color="auto"/>
      </w:divBdr>
    </w:div>
    <w:div w:id="1355107479">
      <w:bodyDiv w:val="1"/>
      <w:marLeft w:val="0"/>
      <w:marRight w:val="0"/>
      <w:marTop w:val="0"/>
      <w:marBottom w:val="0"/>
      <w:divBdr>
        <w:top w:val="none" w:sz="0" w:space="0" w:color="auto"/>
        <w:left w:val="none" w:sz="0" w:space="0" w:color="auto"/>
        <w:bottom w:val="none" w:sz="0" w:space="0" w:color="auto"/>
        <w:right w:val="none" w:sz="0" w:space="0" w:color="auto"/>
      </w:divBdr>
      <w:divsChild>
        <w:div w:id="316694817">
          <w:marLeft w:val="0"/>
          <w:marRight w:val="0"/>
          <w:marTop w:val="0"/>
          <w:marBottom w:val="0"/>
          <w:divBdr>
            <w:top w:val="none" w:sz="0" w:space="0" w:color="auto"/>
            <w:left w:val="none" w:sz="0" w:space="0" w:color="auto"/>
            <w:bottom w:val="none" w:sz="0" w:space="0" w:color="auto"/>
            <w:right w:val="none" w:sz="0" w:space="0" w:color="auto"/>
          </w:divBdr>
          <w:divsChild>
            <w:div w:id="787356007">
              <w:marLeft w:val="0"/>
              <w:marRight w:val="0"/>
              <w:marTop w:val="0"/>
              <w:marBottom w:val="0"/>
              <w:divBdr>
                <w:top w:val="none" w:sz="0" w:space="0" w:color="auto"/>
                <w:left w:val="none" w:sz="0" w:space="0" w:color="auto"/>
                <w:bottom w:val="none" w:sz="0" w:space="0" w:color="auto"/>
                <w:right w:val="none" w:sz="0" w:space="0" w:color="auto"/>
              </w:divBdr>
              <w:divsChild>
                <w:div w:id="10777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062722"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062722"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062722"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062722"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062722" w:rsidRDefault="00BB03C8" w:rsidP="00BB03C8">
          <w:pPr>
            <w:pStyle w:val="01EE0CA9C12F4469953EF8B58FF95299"/>
          </w:pPr>
          <w:r w:rsidRPr="00D938D9">
            <w:rPr>
              <w:rStyle w:val="PlaceholderText"/>
            </w:rPr>
            <w:t>Click here to enter text.</w:t>
          </w:r>
        </w:p>
      </w:docPartBody>
    </w:docPart>
    <w:docPart>
      <w:docPartPr>
        <w:name w:val="D42704997D832940842470B157680C27"/>
        <w:category>
          <w:name w:val="General"/>
          <w:gallery w:val="placeholder"/>
        </w:category>
        <w:types>
          <w:type w:val="bbPlcHdr"/>
        </w:types>
        <w:behaviors>
          <w:behavior w:val="content"/>
        </w:behaviors>
        <w:guid w:val="{651C434C-E91D-C64F-B7E0-6E88DAC846CE}"/>
      </w:docPartPr>
      <w:docPartBody>
        <w:p w:rsidR="00CD5E8E" w:rsidRDefault="00062722" w:rsidP="00062722">
          <w:pPr>
            <w:pStyle w:val="D42704997D832940842470B157680C2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62722"/>
    <w:rsid w:val="00080ED1"/>
    <w:rsid w:val="00103D9A"/>
    <w:rsid w:val="00145A2F"/>
    <w:rsid w:val="002F217F"/>
    <w:rsid w:val="0047423F"/>
    <w:rsid w:val="008806B5"/>
    <w:rsid w:val="009612F6"/>
    <w:rsid w:val="00A553FF"/>
    <w:rsid w:val="00AE3434"/>
    <w:rsid w:val="00BB03C8"/>
    <w:rsid w:val="00CD5E8E"/>
    <w:rsid w:val="00DE1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2722"/>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1">
    <w:name w:val="22475566987D41748C19AD2573CEB696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1">
    <w:name w:val="6364ACB08F9B49D6A0153E36933DAD65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1">
    <w:name w:val="308E2D041CFF40CA948231B226B1C7B7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1">
    <w:name w:val="FB43125EC9AC42B1814ABC6713C0BE1D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1">
    <w:name w:val="6DBC020197394D62B64FD5162A8CA88B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52C73A45BA2542C5977F00A5834B8710">
    <w:name w:val="52C73A45BA2542C5977F00A5834B8710"/>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9B6F19C4FE3F44C88F77BEE7FCC51EB6">
    <w:name w:val="9B6F19C4FE3F44C88F77BEE7FCC51EB6"/>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DFDEF23CA10343C1B0C3C62FEC7C335B">
    <w:name w:val="DFDEF23CA10343C1B0C3C62FEC7C335B"/>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 w:type="paragraph" w:customStyle="1" w:styleId="D42704997D832940842470B157680C27">
    <w:name w:val="D42704997D832940842470B157680C27"/>
    <w:rsid w:val="0006272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2.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13D761-1195-49FB-9D46-EC6B9C901C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Karlsson Ellifson, Grant</dc:creator>
  <cp:lastModifiedBy>Karlsson Ellifson, Grant</cp:lastModifiedBy>
  <cp:revision>1</cp:revision>
  <dcterms:created xsi:type="dcterms:W3CDTF">2020-10-21T01:46:00Z</dcterms:created>
  <dcterms:modified xsi:type="dcterms:W3CDTF">2020-10-21T01:50:00Z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