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495C4C" w:rsidP="002972EE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495C4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Rizwan Bader, Rebecca </w:t>
                </w:r>
                <w:proofErr w:type="spellStart"/>
                <w:r>
                  <w:rPr>
                    <w:b/>
                  </w:rPr>
                  <w:t>Willfahrt</w:t>
                </w:r>
                <w:proofErr w:type="spellEnd"/>
                <w:r>
                  <w:rPr>
                    <w:b/>
                  </w:rPr>
                  <w:t xml:space="preserve">, </w:t>
                </w:r>
                <w:proofErr w:type="spellStart"/>
                <w:r>
                  <w:rPr>
                    <w:b/>
                  </w:rPr>
                  <w:t>Marrisa</w:t>
                </w:r>
                <w:proofErr w:type="spellEnd"/>
                <w:r>
                  <w:rPr>
                    <w:b/>
                  </w:rPr>
                  <w:t xml:space="preserve"> Bunge, Shawn Nelson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B155E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 the most effective treatment for patients needing an endodontic retreatment</w:t>
                </w:r>
                <w:r w:rsidR="00495C4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B155E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</w:t>
                </w:r>
                <w:r w:rsidR="002105C0">
                  <w:rPr>
                    <w:b/>
                  </w:rPr>
                  <w:t>s needing endodontic intervention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2105C0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E</w:t>
                </w:r>
                <w:r w:rsidR="00495C4C">
                  <w:rPr>
                    <w:b/>
                  </w:rPr>
                  <w:t>ndondontic</w:t>
                </w:r>
                <w:proofErr w:type="spellEnd"/>
                <w:r w:rsidR="00495C4C">
                  <w:rPr>
                    <w:b/>
                  </w:rPr>
                  <w:t xml:space="preserve"> surgery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495C4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Extraction and implant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B155E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More favorable success outcome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sdt>
              <w:sdtPr>
                <w:rPr>
                  <w:b/>
                </w:rPr>
                <w:id w:val="-916939054"/>
                <w:placeholder>
                  <w:docPart w:val="EE5AF9E81E3E9A4180C8CBB855D624F4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692E4D" w:rsidRDefault="00B155EF" w:rsidP="00692E4D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In patient</w:t>
                    </w:r>
                    <w:r w:rsidR="002105C0">
                      <w:rPr>
                        <w:b/>
                      </w:rPr>
                      <w:t>s needing endodontic intervention, is</w:t>
                    </w:r>
                    <w:r>
                      <w:rPr>
                        <w:b/>
                      </w:rPr>
                      <w:t xml:space="preserve"> endodontic surgery more successful than when compared against extraction and implant placement </w:t>
                    </w: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1255E9" w:rsidP="00013D7B">
                <w:pPr>
                  <w:rPr>
                    <w:b/>
                  </w:rPr>
                </w:pPr>
                <w:r w:rsidRPr="001255E9">
                  <w:rPr>
                    <w:b/>
                  </w:rPr>
                  <w:t>Due to implants and endodontic surgery having different criteria of success the need fo</w:t>
                </w:r>
                <w:r w:rsidR="00013D7B">
                  <w:rPr>
                    <w:b/>
                  </w:rPr>
                  <w:t xml:space="preserve">r </w:t>
                </w:r>
                <w:r w:rsidRPr="001255E9">
                  <w:rPr>
                    <w:b/>
                  </w:rPr>
                  <w:t>more randomized control trials between endodontic surgery and extraction and implant placement are needed in order to determine which treatment option is more superior.</w:t>
                </w:r>
                <w:r w:rsidR="00013D7B">
                  <w:rPr>
                    <w:b/>
                  </w:rPr>
                  <w:t xml:space="preserve"> </w:t>
                </w:r>
                <w:r w:rsidRPr="001255E9">
                  <w:rPr>
                    <w:b/>
                  </w:rPr>
                  <w:t>Available evidence is unable to provide clinicians with reliable guidelines in order to treat periapical lesions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2105C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</w:t>
                </w:r>
                <w:r w:rsidR="00013D7B">
                  <w:rPr>
                    <w:b/>
                  </w:rPr>
                  <w:t>6</w:t>
                </w:r>
                <w:r>
                  <w:rPr>
                    <w:b/>
                  </w:rPr>
                  <w:t>/2020, 10/</w:t>
                </w:r>
                <w:r w:rsidR="00013D7B">
                  <w:rPr>
                    <w:b/>
                  </w:rPr>
                  <w:t>7</w:t>
                </w:r>
                <w:r>
                  <w:rPr>
                    <w:b/>
                  </w:rPr>
                  <w:t>/2020</w:t>
                </w:r>
                <w:r w:rsidR="00013D7B">
                  <w:rPr>
                    <w:b/>
                  </w:rPr>
                  <w:t>, 10/14/2020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B155EF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B155E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Endodontic </w:t>
                </w:r>
                <w:proofErr w:type="spellStart"/>
                <w:r>
                  <w:rPr>
                    <w:b/>
                  </w:rPr>
                  <w:t>mircrosurgery</w:t>
                </w:r>
                <w:proofErr w:type="spellEnd"/>
                <w:r>
                  <w:rPr>
                    <w:b/>
                  </w:rPr>
                  <w:t xml:space="preserve">, single implants, endodontic </w:t>
                </w:r>
                <w:r w:rsidR="002105C0">
                  <w:rPr>
                    <w:b/>
                  </w:rPr>
                  <w:t>intervention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344B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Tooth extraction</w:t>
                </w:r>
                <w:r w:rsidR="00375E0F">
                  <w:rPr>
                    <w:b/>
                  </w:rPr>
                  <w:t>,</w:t>
                </w:r>
                <w:r>
                  <w:rPr>
                    <w:b/>
                  </w:rPr>
                  <w:t xml:space="preserve"> dental implants, single tooth, microsurgery</w:t>
                </w:r>
                <w:r w:rsidR="00375E0F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B51D3E" w:rsidRPr="00B51D3E" w:rsidRDefault="00B51D3E" w:rsidP="00B51D3E">
                <w:pPr>
                  <w:pStyle w:val="ListParagraph"/>
                  <w:numPr>
                    <w:ilvl w:val="0"/>
                    <w:numId w:val="11"/>
                  </w:numPr>
                  <w:shd w:val="clear" w:color="auto" w:fill="FFFFFF"/>
                  <w:spacing w:before="100" w:beforeAutospacing="1" w:after="100" w:afterAutospacing="1"/>
                  <w:outlineLvl w:val="0"/>
                  <w:rPr>
                    <w:rFonts w:asciiTheme="minorHAnsi" w:eastAsia="Times New Roman" w:hAnsiTheme="minorHAnsi" w:cstheme="minorHAnsi"/>
                    <w:bCs/>
                    <w:color w:val="212121"/>
                    <w:kern w:val="36"/>
                    <w:sz w:val="24"/>
                    <w:szCs w:val="24"/>
                  </w:rPr>
                </w:pPr>
                <w:r w:rsidRPr="00B51D3E">
                  <w:rPr>
                    <w:rFonts w:asciiTheme="minorHAnsi" w:eastAsia="Times New Roman" w:hAnsiTheme="minorHAnsi" w:cstheme="minorHAnsi"/>
                    <w:bCs/>
                    <w:color w:val="212121"/>
                    <w:kern w:val="36"/>
                    <w:sz w:val="24"/>
                    <w:szCs w:val="24"/>
                  </w:rPr>
                  <w:t>Tooth retention through endodontic microsurgery or tooth replacement using single implants: a systematic review of treatment outcome</w:t>
                </w:r>
              </w:p>
              <w:p w:rsidR="00B51D3E" w:rsidRDefault="00B51D3E" w:rsidP="00B51D3E">
                <w:pPr>
                  <w:spacing w:line="240" w:lineRule="auto"/>
                  <w:ind w:left="0" w:firstLine="0"/>
                  <w:rPr>
                    <w:rFonts w:ascii="Helvetica Neue" w:hAnsi="Helvetica Neue"/>
                    <w:color w:val="212121"/>
                    <w:shd w:val="clear" w:color="auto" w:fill="FFFFFF"/>
                  </w:rPr>
                </w:pP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Torabinejad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M,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Landaez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M, Milan M, Sun CX,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Henkin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J, Al-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Ardah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A,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Kattadiyil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M,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Bahjri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K,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Dehom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S, Cortez E, White SN. Tooth retention through endodontic </w:t>
                </w:r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lastRenderedPageBreak/>
                  <w:t xml:space="preserve">microsurgery or tooth replacement using single implants: a systematic review of treatment outcomes. J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Endod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. 2015 Jan;41(1):1-10.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: 10.1016/j.joen.2014.09.002.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Epub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2014 Oct 11. PMID: 25306305.</w:t>
                </w:r>
              </w:p>
              <w:p w:rsidR="00B51D3E" w:rsidRDefault="00B51D3E" w:rsidP="00B51D3E">
                <w:pPr>
                  <w:spacing w:line="240" w:lineRule="auto"/>
                  <w:ind w:left="0" w:firstLine="0"/>
                  <w:rPr>
                    <w:rFonts w:ascii="Helvetica Neue" w:hAnsi="Helvetica Neue"/>
                    <w:color w:val="212121"/>
                    <w:shd w:val="clear" w:color="auto" w:fill="FFFFFF"/>
                  </w:rPr>
                </w:pPr>
              </w:p>
              <w:p w:rsidR="00B51D3E" w:rsidRDefault="0034030B" w:rsidP="0034030B">
                <w:pPr>
                  <w:pStyle w:val="Heading1"/>
                  <w:numPr>
                    <w:ilvl w:val="0"/>
                    <w:numId w:val="11"/>
                  </w:numPr>
                  <w:shd w:val="clear" w:color="auto" w:fill="FFFFFF"/>
                  <w:outlineLvl w:val="0"/>
                  <w:rPr>
                    <w:rFonts w:asciiTheme="minorHAnsi" w:hAnsiTheme="minorHAnsi" w:cstheme="minorHAnsi"/>
                    <w:b w:val="0"/>
                    <w:color w:val="21212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212121"/>
                    <w:sz w:val="24"/>
                    <w:szCs w:val="24"/>
                  </w:rPr>
                  <w:t>Comparison of Long-term Survival of Implants and Endodontically Treated Teeth</w:t>
                </w:r>
              </w:p>
              <w:p w:rsidR="0034030B" w:rsidRDefault="0034030B" w:rsidP="0034030B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Setzer FC, Kim S. Comparison of long-term survival of implants and endodontically treated teeth. J Dent Res. 2014 Jan;93(1):19-26.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: 10.1177/0022034513504782.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Epub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2013 Sep 24. PMID: 24065635; PMCID: PMC3872851.</w:t>
                </w:r>
              </w:p>
              <w:p w:rsidR="00B51D3E" w:rsidRPr="00B51D3E" w:rsidRDefault="00B51D3E" w:rsidP="00B51D3E">
                <w:pPr>
                  <w:spacing w:line="240" w:lineRule="auto"/>
                  <w:ind w:left="0" w:firstLine="0"/>
                  <w:rPr>
                    <w:rFonts w:ascii="Helvetica Neue" w:hAnsi="Helvetica Neue"/>
                    <w:color w:val="212121"/>
                    <w:shd w:val="clear" w:color="auto" w:fill="FFFFFF"/>
                  </w:rPr>
                </w:pPr>
              </w:p>
              <w:p w:rsidR="00B51D3E" w:rsidRDefault="0034030B" w:rsidP="00B51D3E">
                <w:pPr>
                  <w:pStyle w:val="Heading1"/>
                  <w:numPr>
                    <w:ilvl w:val="0"/>
                    <w:numId w:val="11"/>
                  </w:numPr>
                  <w:shd w:val="clear" w:color="auto" w:fill="FFFFFF"/>
                  <w:outlineLvl w:val="0"/>
                  <w:rPr>
                    <w:rFonts w:asciiTheme="minorHAnsi" w:hAnsiTheme="minorHAnsi" w:cstheme="minorHAnsi"/>
                    <w:b w:val="0"/>
                    <w:color w:val="21212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212121"/>
                    <w:sz w:val="24"/>
                    <w:szCs w:val="24"/>
                  </w:rPr>
                  <w:t>Outcomes of Surgical Endodontic Treatment Performed by Modern Technique: An Updated Meta-Analysis of the Literature</w:t>
                </w:r>
              </w:p>
              <w:p w:rsidR="00013D7B" w:rsidRDefault="00013D7B" w:rsidP="00013D7B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Tsesis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Rosen E,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Taschieri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Telishevsky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Strauss Y,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Ceresoli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V, Del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Fabbro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M. Outcomes of surgical endodontic treatment performed by a modern technique: an updated meta-analysis of the literature. J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Endod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. 2013 Mar;39(3):332-9.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:</w:t>
                </w:r>
              </w:p>
              <w:p w:rsidR="00B51D3E" w:rsidRPr="00B51D3E" w:rsidRDefault="00B51D3E" w:rsidP="00B51D3E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34030B" w:rsidRDefault="0034030B" w:rsidP="0034030B">
                <w:pPr>
                  <w:pStyle w:val="ListParagraph"/>
                  <w:numPr>
                    <w:ilvl w:val="0"/>
                    <w:numId w:val="10"/>
                  </w:numPr>
                </w:pPr>
                <w:r>
                  <w:t>Systematic Review of Randomized Control Trials</w:t>
                </w:r>
              </w:p>
              <w:p w:rsidR="0034030B" w:rsidRDefault="0034030B" w:rsidP="0034030B">
                <w:pPr>
                  <w:pStyle w:val="ListParagraph"/>
                  <w:numPr>
                    <w:ilvl w:val="0"/>
                    <w:numId w:val="10"/>
                  </w:numPr>
                </w:pPr>
                <w:r>
                  <w:t>Expert Opinion</w:t>
                </w:r>
              </w:p>
              <w:p w:rsidR="00692E4D" w:rsidRPr="00B155EF" w:rsidRDefault="0034030B" w:rsidP="00B155EF">
                <w:pPr>
                  <w:pStyle w:val="ListParagraph"/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Meta Analysis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5C1397" w:rsidRDefault="005C1397" w:rsidP="0034030B">
                <w:pPr>
                  <w:pStyle w:val="ListParagraph"/>
                  <w:ind w:firstLine="0"/>
                  <w:rPr>
                    <w:b/>
                  </w:rPr>
                </w:pPr>
                <w:r>
                  <w:t xml:space="preserve">The reason for the </w:t>
                </w:r>
                <w:r w:rsidR="00A04CC3">
                  <w:t xml:space="preserve">article selection was due </w:t>
                </w:r>
                <w:r>
                  <w:t>relevancy of the PICO question.</w:t>
                </w:r>
                <w:r w:rsidR="0034030B">
                  <w:t xml:space="preserve"> The literature lacked randomized control trials that compared the two studies. However, the articles </w:t>
                </w:r>
                <w:r w:rsidR="001255E9">
                  <w:t xml:space="preserve">were most relevant sources of information that allowed me to answer the </w:t>
                </w:r>
                <w:proofErr w:type="spellStart"/>
                <w:r w:rsidR="001255E9">
                  <w:t>pico</w:t>
                </w:r>
                <w:proofErr w:type="spellEnd"/>
                <w:r w:rsidR="001255E9">
                  <w:t xml:space="preserve"> question</w:t>
                </w:r>
                <w:r w:rsidR="00013D7B">
                  <w:t xml:space="preserve"> by examining both side by side</w:t>
                </w:r>
                <w:r w:rsidR="001255E9">
                  <w:t>.</w:t>
                </w:r>
                <w:r w:rsidR="00013D7B">
                  <w:t xml:space="preserve"> The last article looked more at which type of endodontic surgery would lead to the highest success.</w:t>
                </w:r>
                <w:r w:rsidR="001255E9">
                  <w:t xml:space="preserve"> </w:t>
                </w:r>
                <w:r>
                  <w:t>The article</w:t>
                </w:r>
                <w:r w:rsidR="001255E9">
                  <w:t>s</w:t>
                </w:r>
                <w:r>
                  <w:t xml:space="preserve"> made a good </w:t>
                </w:r>
                <w:r w:rsidR="00013D7B">
                  <w:t>choice of success</w:t>
                </w:r>
                <w:r>
                  <w:t xml:space="preserve"> between </w:t>
                </w:r>
                <w:r w:rsidR="00A04CC3">
                  <w:t>endodontic microsurgery and tooth replacement using single implants</w:t>
                </w:r>
                <w:r w:rsidR="00013D7B">
                  <w:t>.</w:t>
                </w:r>
                <w:r w:rsidR="00A04CC3"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BC4166" w:rsidRPr="001255E9" w:rsidRDefault="00F8532C" w:rsidP="001255E9">
                <w:pPr>
                  <w:pStyle w:val="ListParagraph"/>
                  <w:numPr>
                    <w:ilvl w:val="0"/>
                    <w:numId w:val="13"/>
                  </w:numPr>
                  <w:rPr>
                    <w:b/>
                  </w:rPr>
                </w:pPr>
                <w:r w:rsidRPr="001255E9">
                  <w:rPr>
                    <w:b/>
                  </w:rPr>
                  <w:t>T</w:t>
                </w:r>
                <w:r w:rsidR="00A04CC3" w:rsidRPr="001255E9">
                  <w:rPr>
                    <w:b/>
                  </w:rPr>
                  <w:t>he use of endodontic microsurgery with extraction and implant placement resulted in a better or worse clini</w:t>
                </w:r>
                <w:r w:rsidR="00B129E5" w:rsidRPr="001255E9">
                  <w:rPr>
                    <w:b/>
                  </w:rPr>
                  <w:t xml:space="preserve">cal, and psychosocial </w:t>
                </w:r>
                <w:r w:rsidR="00A04CC3" w:rsidRPr="001255E9">
                  <w:rPr>
                    <w:b/>
                  </w:rPr>
                  <w:t xml:space="preserve">outcome. </w:t>
                </w:r>
                <w:r w:rsidR="00B129E5" w:rsidRPr="001255E9">
                  <w:rPr>
                    <w:b/>
                  </w:rPr>
                  <w:t xml:space="preserve">The survival rates </w:t>
                </w:r>
                <w:r w:rsidR="007D18A5" w:rsidRPr="001255E9">
                  <w:rPr>
                    <w:b/>
                  </w:rPr>
                  <w:t xml:space="preserve">at 4-6 years </w:t>
                </w:r>
                <w:r w:rsidR="00B129E5" w:rsidRPr="001255E9">
                  <w:rPr>
                    <w:b/>
                  </w:rPr>
                  <w:t>of sing</w:t>
                </w:r>
                <w:r w:rsidR="007D18A5" w:rsidRPr="001255E9">
                  <w:rPr>
                    <w:b/>
                  </w:rPr>
                  <w:t xml:space="preserve">le implants was much </w:t>
                </w:r>
                <w:proofErr w:type="spellStart"/>
                <w:r w:rsidR="007D18A5" w:rsidRPr="001255E9">
                  <w:rPr>
                    <w:b/>
                  </w:rPr>
                  <w:t>higer</w:t>
                </w:r>
                <w:proofErr w:type="spellEnd"/>
                <w:r w:rsidR="007D18A5" w:rsidRPr="001255E9">
                  <w:rPr>
                    <w:b/>
                  </w:rPr>
                  <w:t xml:space="preserve"> than teeth that were treated with endodontic microsurgery</w:t>
                </w:r>
                <w:r w:rsidR="00B129E5" w:rsidRPr="001255E9">
                  <w:rPr>
                    <w:b/>
                  </w:rPr>
                  <w:t xml:space="preserve">. The success criteria for the different treatment modalities was </w:t>
                </w:r>
                <w:proofErr w:type="gramStart"/>
                <w:r w:rsidR="00B129E5" w:rsidRPr="001255E9">
                  <w:rPr>
                    <w:b/>
                  </w:rPr>
                  <w:t>largely different</w:t>
                </w:r>
                <w:proofErr w:type="gramEnd"/>
                <w:r w:rsidR="00B129E5" w:rsidRPr="001255E9">
                  <w:rPr>
                    <w:b/>
                  </w:rPr>
                  <w:t xml:space="preserve">. However, research found that SI success rate was not different than survival rate. While in contrast EMS success rate was lower than its survival rate. </w:t>
                </w:r>
                <w:r w:rsidR="00375E0F" w:rsidRPr="001255E9">
                  <w:rPr>
                    <w:b/>
                  </w:rPr>
                  <w:t xml:space="preserve">The study found that in the event of a failure of </w:t>
                </w:r>
                <w:proofErr w:type="spellStart"/>
                <w:proofErr w:type="gramStart"/>
                <w:r w:rsidR="00375E0F" w:rsidRPr="001255E9">
                  <w:rPr>
                    <w:b/>
                  </w:rPr>
                  <w:t>non surgical</w:t>
                </w:r>
                <w:proofErr w:type="spellEnd"/>
                <w:proofErr w:type="gramEnd"/>
                <w:r w:rsidR="00375E0F" w:rsidRPr="001255E9">
                  <w:rPr>
                    <w:b/>
                  </w:rPr>
                  <w:t xml:space="preserve"> root canal therapy, the use of a single implant was a superior option to EMS in respect to </w:t>
                </w:r>
                <w:r w:rsidR="00375E0F" w:rsidRPr="001255E9">
                  <w:rPr>
                    <w:b/>
                  </w:rPr>
                  <w:lastRenderedPageBreak/>
                  <w:t>survival.</w:t>
                </w:r>
                <w:r w:rsidR="00E344BC" w:rsidRPr="001255E9">
                  <w:rPr>
                    <w:b/>
                  </w:rPr>
                  <w:t xml:space="preserve"> In terms of economics, it was a general consensus that endodontic interventions were less costly tha</w:t>
                </w:r>
                <w:r w:rsidR="001255E9">
                  <w:rPr>
                    <w:b/>
                  </w:rPr>
                  <w:t>n</w:t>
                </w:r>
                <w:r w:rsidR="00E344BC" w:rsidRPr="001255E9">
                  <w:rPr>
                    <w:b/>
                  </w:rPr>
                  <w:t xml:space="preserve"> single implants.</w:t>
                </w:r>
                <w:r w:rsidR="001255E9">
                  <w:rPr>
                    <w:b/>
                  </w:rPr>
                  <w:t xml:space="preserve"> There was a lack of a common</w:t>
                </w:r>
                <w:r w:rsidR="00E344BC" w:rsidRPr="001255E9">
                  <w:rPr>
                    <w:b/>
                  </w:rPr>
                  <w:t xml:space="preserve"> success definition </w:t>
                </w:r>
                <w:r w:rsidR="001255E9">
                  <w:rPr>
                    <w:b/>
                  </w:rPr>
                  <w:t>between the two</w:t>
                </w:r>
                <w:r w:rsidR="00E344BC" w:rsidRPr="001255E9">
                  <w:rPr>
                    <w:b/>
                  </w:rPr>
                  <w:t xml:space="preserve">. </w:t>
                </w:r>
              </w:p>
              <w:p w:rsidR="00BC4166" w:rsidRDefault="00BC4166" w:rsidP="002E6FF2">
                <w:pPr>
                  <w:ind w:left="0" w:firstLine="0"/>
                  <w:rPr>
                    <w:b/>
                  </w:rPr>
                </w:pPr>
              </w:p>
              <w:p w:rsidR="001255E9" w:rsidRDefault="001255E9" w:rsidP="001255E9">
                <w:pPr>
                  <w:pStyle w:val="ListParagraph"/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>The article e</w:t>
                </w:r>
                <w:r w:rsidRPr="001255E9">
                  <w:rPr>
                    <w:b/>
                  </w:rPr>
                  <w:t>xamined and compared studies that summarized the benefits, disadvantages, success, and survival of implant and endodontic microsurgery</w:t>
                </w:r>
                <w:r>
                  <w:rPr>
                    <w:b/>
                  </w:rPr>
                  <w:t xml:space="preserve">. The </w:t>
                </w:r>
                <w:r w:rsidRPr="001255E9">
                  <w:rPr>
                    <w:b/>
                  </w:rPr>
                  <w:t>success rates of</w:t>
                </w:r>
                <w:r>
                  <w:rPr>
                    <w:b/>
                  </w:rPr>
                  <w:t xml:space="preserve"> single unit implants </w:t>
                </w:r>
                <w:proofErr w:type="gramStart"/>
                <w:r>
                  <w:rPr>
                    <w:b/>
                  </w:rPr>
                  <w:t>was</w:t>
                </w:r>
                <w:proofErr w:type="gramEnd"/>
                <w:r w:rsidRPr="001255E9">
                  <w:rPr>
                    <w:b/>
                  </w:rPr>
                  <w:t xml:space="preserve"> 96.7-97.5 over the span of 6-7 years</w:t>
                </w:r>
                <w:r>
                  <w:rPr>
                    <w:b/>
                  </w:rPr>
                  <w:t xml:space="preserve"> and</w:t>
                </w:r>
                <w:r w:rsidRPr="001255E9">
                  <w:rPr>
                    <w:b/>
                  </w:rPr>
                  <w:t xml:space="preserve"> 91.4%-93.5% for endodontic microsurgery after 1 year follow-up</w:t>
                </w:r>
                <w:r>
                  <w:rPr>
                    <w:b/>
                  </w:rPr>
                  <w:t xml:space="preserve">. Moreover, the article mentioned that it was harder to obtain satisfactory esthetics and gingival architecture for implants which can influence patient preferences. </w:t>
                </w:r>
              </w:p>
              <w:p w:rsidR="00E55BF1" w:rsidRPr="00E55BF1" w:rsidRDefault="00E55BF1" w:rsidP="00E55BF1">
                <w:pPr>
                  <w:ind w:left="0" w:firstLine="0"/>
                  <w:rPr>
                    <w:b/>
                  </w:rPr>
                </w:pPr>
              </w:p>
              <w:p w:rsidR="00692E4D" w:rsidRPr="001255E9" w:rsidRDefault="001255E9" w:rsidP="001255E9">
                <w:pPr>
                  <w:pStyle w:val="ListParagraph"/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>This article examined c</w:t>
                </w:r>
                <w:r w:rsidRPr="001255E9">
                  <w:rPr>
                    <w:b/>
                  </w:rPr>
                  <w:t xml:space="preserve">linical trials </w:t>
                </w:r>
                <w:r>
                  <w:rPr>
                    <w:b/>
                  </w:rPr>
                  <w:t>of</w:t>
                </w:r>
                <w:r w:rsidRPr="001255E9">
                  <w:rPr>
                    <w:b/>
                  </w:rPr>
                  <w:t xml:space="preserve"> surgical endodontic treatment performed in patients with apical periodontitis in endodontically treated teeth</w:t>
                </w:r>
                <w:r>
                  <w:rPr>
                    <w:b/>
                  </w:rPr>
                  <w:t>. The research found that t</w:t>
                </w:r>
                <w:r w:rsidRPr="001255E9">
                  <w:rPr>
                    <w:b/>
                  </w:rPr>
                  <w:t xml:space="preserve">eeth that don’t have periodontal disease modern endodontic surgery using MTA </w:t>
                </w:r>
                <w:proofErr w:type="spellStart"/>
                <w:r w:rsidRPr="001255E9">
                  <w:rPr>
                    <w:b/>
                  </w:rPr>
                  <w:t>retrofilling</w:t>
                </w:r>
                <w:proofErr w:type="spellEnd"/>
                <w:r w:rsidRPr="001255E9">
                  <w:rPr>
                    <w:b/>
                  </w:rPr>
                  <w:t xml:space="preserve"> material </w:t>
                </w:r>
                <w:r>
                  <w:rPr>
                    <w:b/>
                  </w:rPr>
                  <w:t xml:space="preserve">using </w:t>
                </w:r>
                <w:r w:rsidRPr="001255E9">
                  <w:rPr>
                    <w:b/>
                  </w:rPr>
                  <w:t xml:space="preserve">endoscope or operative microscope is </w:t>
                </w:r>
                <w:proofErr w:type="gramStart"/>
                <w:r w:rsidRPr="001255E9">
                  <w:rPr>
                    <w:b/>
                  </w:rPr>
                  <w:t xml:space="preserve">a </w:t>
                </w:r>
                <w:r>
                  <w:rPr>
                    <w:b/>
                  </w:rPr>
                  <w:t xml:space="preserve"> </w:t>
                </w:r>
                <w:proofErr w:type="spellStart"/>
                <w:r w:rsidRPr="001255E9">
                  <w:rPr>
                    <w:b/>
                  </w:rPr>
                  <w:t>successul</w:t>
                </w:r>
                <w:proofErr w:type="spellEnd"/>
                <w:proofErr w:type="gramEnd"/>
                <w:r w:rsidRPr="001255E9">
                  <w:rPr>
                    <w:b/>
                  </w:rPr>
                  <w:t xml:space="preserve"> treatment option with a 1 year postoperative period</w:t>
                </w:r>
                <w:r>
                  <w:rPr>
                    <w:b/>
                  </w:rPr>
                  <w:t>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C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2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584524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584524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58452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58452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D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584524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013D7B" w:rsidRPr="00013D7B" w:rsidRDefault="00013D7B" w:rsidP="00013D7B">
                <w:pPr>
                  <w:rPr>
                    <w:b/>
                  </w:rPr>
                </w:pPr>
                <w:r w:rsidRPr="00013D7B">
                  <w:rPr>
                    <w:b/>
                  </w:rPr>
                  <w:tab/>
                  <w:t xml:space="preserve">Although the literature has no comparative trials and there is a lack of </w:t>
                </w:r>
                <w:proofErr w:type="gramStart"/>
                <w:r w:rsidRPr="00013D7B">
                  <w:rPr>
                    <w:b/>
                  </w:rPr>
                  <w:t>evidence based</w:t>
                </w:r>
                <w:proofErr w:type="gramEnd"/>
                <w:r w:rsidRPr="00013D7B">
                  <w:rPr>
                    <w:b/>
                  </w:rPr>
                  <w:t xml:space="preserve"> guidelines, patient specific factors can influence treatment. For our patient, esthetics and finance was not a concern. Extraction and implant have high success and survival rates for longer periods of time. This would </w:t>
                </w:r>
                <w:proofErr w:type="gramStart"/>
                <w:r>
                  <w:rPr>
                    <w:b/>
                  </w:rPr>
                  <w:t>is</w:t>
                </w:r>
                <w:proofErr w:type="gramEnd"/>
                <w:r w:rsidRPr="00013D7B">
                  <w:rPr>
                    <w:b/>
                  </w:rPr>
                  <w:t xml:space="preserve"> a better option for the patient.  </w:t>
                </w:r>
              </w:p>
              <w:p w:rsidR="002972EE" w:rsidRPr="001255E9" w:rsidRDefault="002972EE" w:rsidP="00013D7B">
                <w:pPr>
                  <w:rPr>
                    <w:b/>
                  </w:rPr>
                </w:pP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524" w:rsidRDefault="00584524" w:rsidP="00692E4D">
      <w:pPr>
        <w:spacing w:after="0" w:line="240" w:lineRule="auto"/>
      </w:pPr>
      <w:r>
        <w:separator/>
      </w:r>
    </w:p>
  </w:endnote>
  <w:endnote w:type="continuationSeparator" w:id="0">
    <w:p w:rsidR="00584524" w:rsidRDefault="00584524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524" w:rsidRDefault="00584524" w:rsidP="00692E4D">
      <w:pPr>
        <w:spacing w:after="0" w:line="240" w:lineRule="auto"/>
      </w:pPr>
      <w:r>
        <w:separator/>
      </w:r>
    </w:p>
  </w:footnote>
  <w:footnote w:type="continuationSeparator" w:id="0">
    <w:p w:rsidR="00584524" w:rsidRDefault="00584524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1B6F"/>
    <w:multiLevelType w:val="hybridMultilevel"/>
    <w:tmpl w:val="545471B8"/>
    <w:lvl w:ilvl="0" w:tplc="304E9C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CA8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E38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474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0B1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606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470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89D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E9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0F628C3"/>
    <w:multiLevelType w:val="hybridMultilevel"/>
    <w:tmpl w:val="05E0B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732B"/>
    <w:multiLevelType w:val="hybridMultilevel"/>
    <w:tmpl w:val="A4609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C4C82"/>
    <w:multiLevelType w:val="hybridMultilevel"/>
    <w:tmpl w:val="C5A87380"/>
    <w:lvl w:ilvl="0" w:tplc="768AF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E61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69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CC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25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2C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27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6D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0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62CF9"/>
    <w:multiLevelType w:val="hybridMultilevel"/>
    <w:tmpl w:val="19D09322"/>
    <w:lvl w:ilvl="0" w:tplc="E8B632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EC5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1AF4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2097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4D7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CD1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4A2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009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76D2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05344"/>
    <w:multiLevelType w:val="hybridMultilevel"/>
    <w:tmpl w:val="C9CAE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C06449"/>
    <w:multiLevelType w:val="hybridMultilevel"/>
    <w:tmpl w:val="FE7A413A"/>
    <w:lvl w:ilvl="0" w:tplc="A3B84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E40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81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5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3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C5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8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02F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6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63F"/>
    <w:multiLevelType w:val="hybridMultilevel"/>
    <w:tmpl w:val="C316C246"/>
    <w:lvl w:ilvl="0" w:tplc="BB72867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6"/>
  </w:num>
  <w:num w:numId="12">
    <w:abstractNumId w:val="1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13D7B"/>
    <w:rsid w:val="000353D8"/>
    <w:rsid w:val="000573BB"/>
    <w:rsid w:val="000D1922"/>
    <w:rsid w:val="001255E9"/>
    <w:rsid w:val="00192604"/>
    <w:rsid w:val="001C073A"/>
    <w:rsid w:val="002105C0"/>
    <w:rsid w:val="002967BF"/>
    <w:rsid w:val="002972EE"/>
    <w:rsid w:val="002E6FF2"/>
    <w:rsid w:val="0034030B"/>
    <w:rsid w:val="00375E0F"/>
    <w:rsid w:val="003B2868"/>
    <w:rsid w:val="00401252"/>
    <w:rsid w:val="004112F5"/>
    <w:rsid w:val="004816C3"/>
    <w:rsid w:val="00495C4C"/>
    <w:rsid w:val="004B1110"/>
    <w:rsid w:val="004D13CF"/>
    <w:rsid w:val="004F28D6"/>
    <w:rsid w:val="00584524"/>
    <w:rsid w:val="005C1397"/>
    <w:rsid w:val="005F06DC"/>
    <w:rsid w:val="00657CF8"/>
    <w:rsid w:val="00672CAF"/>
    <w:rsid w:val="00692E4D"/>
    <w:rsid w:val="006A2AEF"/>
    <w:rsid w:val="006A5E4B"/>
    <w:rsid w:val="007278F8"/>
    <w:rsid w:val="00746A56"/>
    <w:rsid w:val="00796045"/>
    <w:rsid w:val="007D18A5"/>
    <w:rsid w:val="00816CD8"/>
    <w:rsid w:val="0084217E"/>
    <w:rsid w:val="008A3451"/>
    <w:rsid w:val="009B6682"/>
    <w:rsid w:val="00A04CC3"/>
    <w:rsid w:val="00A228DA"/>
    <w:rsid w:val="00B129E5"/>
    <w:rsid w:val="00B155EF"/>
    <w:rsid w:val="00B51D3E"/>
    <w:rsid w:val="00BC4166"/>
    <w:rsid w:val="00C752BA"/>
    <w:rsid w:val="00CA7A70"/>
    <w:rsid w:val="00DD26F4"/>
    <w:rsid w:val="00E26730"/>
    <w:rsid w:val="00E344BC"/>
    <w:rsid w:val="00E4293E"/>
    <w:rsid w:val="00E55BF1"/>
    <w:rsid w:val="00ED34C6"/>
    <w:rsid w:val="00F04B65"/>
    <w:rsid w:val="00F32487"/>
    <w:rsid w:val="00F76708"/>
    <w:rsid w:val="00F85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E4874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1D3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1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3D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857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41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55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025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425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E5AF9E81E3E9A4180C8CBB855D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6CD9-F114-624F-9AE2-3CE216F0DADC}"/>
      </w:docPartPr>
      <w:docPartBody>
        <w:p w:rsidR="002C6D90" w:rsidRDefault="000E1F72" w:rsidP="000E1F72">
          <w:pPr>
            <w:pStyle w:val="EE5AF9E81E3E9A4180C8CBB855D624F4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E1F72"/>
    <w:rsid w:val="0014668C"/>
    <w:rsid w:val="0028328F"/>
    <w:rsid w:val="002C6D90"/>
    <w:rsid w:val="002D0D1F"/>
    <w:rsid w:val="005246E9"/>
    <w:rsid w:val="00594192"/>
    <w:rsid w:val="00E03C4F"/>
    <w:rsid w:val="00ED619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0E1F72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EE5AF9E81E3E9A4180C8CBB855D624F4">
    <w:name w:val="EE5AF9E81E3E9A4180C8CBB855D624F4"/>
    <w:rsid w:val="000E1F7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Bader, Rizwan</cp:lastModifiedBy>
  <cp:revision>2</cp:revision>
  <dcterms:created xsi:type="dcterms:W3CDTF">2020-10-22T04:54:00Z</dcterms:created>
  <dcterms:modified xsi:type="dcterms:W3CDTF">2020-10-22T04:54:00Z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