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6FA58E26" w14:textId="77777777" w:rsidTr="00292BEF">
        <w:tc>
          <w:tcPr>
            <w:tcW w:w="9576" w:type="dxa"/>
          </w:tcPr>
          <w:p w14:paraId="4533CF53" w14:textId="77777777" w:rsidR="009E5F3C" w:rsidRPr="00CA07DB" w:rsidRDefault="009E5F3C" w:rsidP="009E5F3C">
            <w:pPr>
              <w:rPr>
                <w:b/>
              </w:rPr>
            </w:pPr>
            <w:r w:rsidRPr="00CA07DB">
              <w:rPr>
                <w:b/>
              </w:rPr>
              <w:t>Name:</w:t>
            </w:r>
          </w:p>
        </w:tc>
      </w:tr>
      <w:tr w:rsidR="009E5F3C" w14:paraId="0889EF58" w14:textId="77777777" w:rsidTr="00292BEF">
        <w:sdt>
          <w:sdtPr>
            <w:id w:val="-1616523060"/>
            <w:placeholder>
              <w:docPart w:val="02972703BAF4453BA63C937D54134515"/>
            </w:placeholder>
          </w:sdtPr>
          <w:sdtEndPr/>
          <w:sdtContent>
            <w:tc>
              <w:tcPr>
                <w:tcW w:w="9576" w:type="dxa"/>
              </w:tcPr>
              <w:p w14:paraId="3D4B3055" w14:textId="2F73CE4D" w:rsidR="009E5F3C" w:rsidRDefault="000B506B" w:rsidP="00AD0B2B">
                <w:r>
                  <w:t>Alexis Schroeder</w:t>
                </w:r>
              </w:p>
            </w:tc>
          </w:sdtContent>
        </w:sdt>
      </w:tr>
      <w:tr w:rsidR="009E5F3C" w14:paraId="26A09D75" w14:textId="77777777" w:rsidTr="00292BEF">
        <w:tc>
          <w:tcPr>
            <w:tcW w:w="9576" w:type="dxa"/>
          </w:tcPr>
          <w:p w14:paraId="2EAFBADE" w14:textId="77777777" w:rsidR="009E5F3C" w:rsidRPr="00CA07DB" w:rsidRDefault="009E5F3C" w:rsidP="00292BEF">
            <w:pPr>
              <w:rPr>
                <w:b/>
              </w:rPr>
            </w:pPr>
            <w:r>
              <w:rPr>
                <w:b/>
              </w:rPr>
              <w:t>Group</w:t>
            </w:r>
            <w:r w:rsidRPr="00CA07DB">
              <w:rPr>
                <w:b/>
              </w:rPr>
              <w:t>:</w:t>
            </w:r>
          </w:p>
        </w:tc>
      </w:tr>
      <w:tr w:rsidR="009E5F3C" w14:paraId="00B157CB" w14:textId="77777777" w:rsidTr="00292BEF">
        <w:sdt>
          <w:sdtPr>
            <w:id w:val="-1249565243"/>
            <w:placeholder>
              <w:docPart w:val="6CE4961570204F4694FFE78BC98DD887"/>
            </w:placeholder>
          </w:sdtPr>
          <w:sdtEndPr/>
          <w:sdtContent>
            <w:tc>
              <w:tcPr>
                <w:tcW w:w="9576" w:type="dxa"/>
              </w:tcPr>
              <w:p w14:paraId="7AC55DED" w14:textId="40DFA6B5" w:rsidR="009E5F3C" w:rsidRDefault="007527DE" w:rsidP="00CA07DB">
                <w:r>
                  <w:t>9B-3</w:t>
                </w:r>
              </w:p>
            </w:tc>
          </w:sdtContent>
        </w:sdt>
      </w:tr>
      <w:tr w:rsidR="009E5F3C" w14:paraId="4313DFE5" w14:textId="77777777" w:rsidTr="00292BEF">
        <w:tc>
          <w:tcPr>
            <w:tcW w:w="9576" w:type="dxa"/>
          </w:tcPr>
          <w:p w14:paraId="2E81C29D" w14:textId="77777777" w:rsidR="009E5F3C" w:rsidRPr="00CA07DB" w:rsidRDefault="009E5F3C" w:rsidP="009E5F3C">
            <w:pPr>
              <w:rPr>
                <w:b/>
              </w:rPr>
            </w:pPr>
            <w:r>
              <w:rPr>
                <w:b/>
              </w:rPr>
              <w:t>Basic Science Question</w:t>
            </w:r>
            <w:r w:rsidRPr="00CA07DB">
              <w:rPr>
                <w:b/>
              </w:rPr>
              <w:t>:</w:t>
            </w:r>
          </w:p>
        </w:tc>
      </w:tr>
      <w:tr w:rsidR="009E5F3C" w14:paraId="3449B99C" w14:textId="77777777" w:rsidTr="00292BEF">
        <w:sdt>
          <w:sdtPr>
            <w:id w:val="1729411323"/>
            <w:placeholder>
              <w:docPart w:val="C2815E99CDA84C31B81ABC34C42C3183"/>
            </w:placeholder>
          </w:sdtPr>
          <w:sdtEndPr/>
          <w:sdtContent>
            <w:tc>
              <w:tcPr>
                <w:tcW w:w="9576" w:type="dxa"/>
              </w:tcPr>
              <w:p w14:paraId="6C8137E2" w14:textId="5155F371" w:rsidR="009E5F3C" w:rsidRDefault="000B506B" w:rsidP="00AD0B2B">
                <w:r>
                  <w:t>What is Ante’s Law?</w:t>
                </w:r>
              </w:p>
            </w:tc>
          </w:sdtContent>
        </w:sdt>
      </w:tr>
      <w:tr w:rsidR="009E5F3C" w14:paraId="5A17C95D" w14:textId="77777777" w:rsidTr="00292BEF">
        <w:tc>
          <w:tcPr>
            <w:tcW w:w="9576" w:type="dxa"/>
          </w:tcPr>
          <w:p w14:paraId="0B626DB7" w14:textId="77777777" w:rsidR="009E5F3C" w:rsidRPr="00CA07DB" w:rsidRDefault="009E5F3C" w:rsidP="00292BEF">
            <w:pPr>
              <w:rPr>
                <w:b/>
              </w:rPr>
            </w:pPr>
            <w:r>
              <w:rPr>
                <w:b/>
              </w:rPr>
              <w:t>Report</w:t>
            </w:r>
            <w:r w:rsidRPr="00CA07DB">
              <w:rPr>
                <w:b/>
              </w:rPr>
              <w:t>:</w:t>
            </w:r>
          </w:p>
        </w:tc>
      </w:tr>
      <w:tr w:rsidR="009E5F3C" w14:paraId="34093C4B" w14:textId="77777777" w:rsidTr="00292BEF">
        <w:sdt>
          <w:sdtPr>
            <w:id w:val="-343781582"/>
            <w:placeholder>
              <w:docPart w:val="2F8D231325654E9AB46B3D49F60F909D"/>
            </w:placeholder>
          </w:sdtPr>
          <w:sdtEndPr/>
          <w:sdtContent>
            <w:tc>
              <w:tcPr>
                <w:tcW w:w="9576" w:type="dxa"/>
              </w:tcPr>
              <w:p w14:paraId="5D94E45A" w14:textId="2006479A" w:rsidR="009E5F3C" w:rsidRPr="00851F21" w:rsidRDefault="00851F21" w:rsidP="00851F21">
                <w:r>
                  <w:t xml:space="preserve">Ante’s </w:t>
                </w:r>
                <w:r w:rsidRPr="00527623">
                  <w:t xml:space="preserve">Law was created in 1926 by Irwin Ante and was </w:t>
                </w:r>
                <w:r>
                  <w:t xml:space="preserve">developed </w:t>
                </w:r>
                <w:r w:rsidRPr="00527623">
                  <w:t xml:space="preserve">to help determine the amount of support needed for a fixed dental prosthesis (FTP). Ante’s Law states that, “The combined root surface area of the abutment teeth should equal or be greater than that of the teeth being replaced by </w:t>
                </w:r>
                <w:proofErr w:type="spellStart"/>
                <w:r w:rsidRPr="00527623">
                  <w:t>pontics</w:t>
                </w:r>
                <w:proofErr w:type="spellEnd"/>
                <w:r w:rsidRPr="00527623">
                  <w:t xml:space="preserve">.” (Ante, 1926). A </w:t>
                </w:r>
                <w:proofErr w:type="spellStart"/>
                <w:r w:rsidRPr="00527623">
                  <w:t>pontic</w:t>
                </w:r>
                <w:proofErr w:type="spellEnd"/>
                <w:r w:rsidRPr="00527623">
                  <w:t xml:space="preserve"> is an artificial tooth on a fixed dental prosthesis that replaces the missing tooth.</w:t>
                </w:r>
                <w:r>
                  <w:t xml:space="preserve"> </w:t>
                </w:r>
                <w:r w:rsidR="00F30C8C">
                  <w:t xml:space="preserve">(Lexicomp, 2013). </w:t>
                </w:r>
                <w:r w:rsidRPr="00527623">
                  <w:t>Abutment teeth are the teeth lateral and medial to the missing tooth/teeth, and they support the prosthesis</w:t>
                </w:r>
                <w:r w:rsidR="00F30C8C">
                  <w:t xml:space="preserve"> (Lexicomp, 2013)</w:t>
                </w:r>
                <w:r>
                  <w:t>. Abutment teeth are essential to the success of FTP and therefore the health of the abutment teeth is extremely important. If too much stress is put on the abutment teeth, it could lead to bone loss or even tooth loss</w:t>
                </w:r>
                <w:r w:rsidR="0031492D">
                  <w:t xml:space="preserve"> (Lexicomp, 2013)</w:t>
                </w:r>
                <w:r>
                  <w:t>. To prevent bone loss on abutment teeth, Ante developed his law to reduce stress on abutment teeth and increase success rates of FTPs. His law uses root surface area as a means of determining how much stress the abutment teeth can handle. However, it may be difficult to estimate the root surface area of missing teeth if they are not present. To solve this issue, i</w:t>
                </w:r>
                <w:r w:rsidRPr="00527623">
                  <w:t>n 1963, Jepsen measured average root surface areas</w:t>
                </w:r>
                <w:r w:rsidR="007D282C">
                  <w:t xml:space="preserve"> (Jepsen, 1963)</w:t>
                </w:r>
                <w:r>
                  <w:t>. These root surface area averages</w:t>
                </w:r>
                <w:r w:rsidRPr="00527623">
                  <w:t xml:space="preserve"> can be used to compare the root surface areas of </w:t>
                </w:r>
                <w:r>
                  <w:t>missing teeth</w:t>
                </w:r>
                <w:r w:rsidRPr="00527623">
                  <w:t xml:space="preserve"> to abutment</w:t>
                </w:r>
                <w:r>
                  <w:t xml:space="preserve"> teeth</w:t>
                </w:r>
                <w:r w:rsidRPr="00527623">
                  <w:t xml:space="preserve">. During the presentation, I will explain what abutment teeth, </w:t>
                </w:r>
                <w:proofErr w:type="spellStart"/>
                <w:r w:rsidRPr="00527623">
                  <w:t>pontics</w:t>
                </w:r>
                <w:proofErr w:type="spellEnd"/>
                <w:r w:rsidRPr="00527623">
                  <w:t xml:space="preserve">, and Ante’s Law are. Then I will </w:t>
                </w:r>
                <w:r>
                  <w:t>present</w:t>
                </w:r>
                <w:r w:rsidRPr="00527623">
                  <w:t xml:space="preserve"> two different examples using Jepsen’s table to show one situation where Ante’s law is broken, and one where it is obeyed.</w:t>
                </w:r>
                <w:r>
                  <w:t xml:space="preserve"> I will conclude by reiterating the importance of abutment teeth and the consequences of putting too much stress on them. </w:t>
                </w:r>
              </w:p>
            </w:tc>
          </w:sdtContent>
        </w:sdt>
      </w:tr>
      <w:tr w:rsidR="009E5F3C" w14:paraId="75D51F86" w14:textId="77777777" w:rsidTr="00292BEF">
        <w:tc>
          <w:tcPr>
            <w:tcW w:w="9576" w:type="dxa"/>
          </w:tcPr>
          <w:p w14:paraId="615ADCCA" w14:textId="77777777" w:rsidR="009E5F3C" w:rsidRPr="00CA07DB" w:rsidRDefault="009E5F3C" w:rsidP="009E5F3C">
            <w:pPr>
              <w:rPr>
                <w:b/>
              </w:rPr>
            </w:pPr>
            <w:r w:rsidRPr="00CA07DB">
              <w:rPr>
                <w:b/>
              </w:rPr>
              <w:t>R</w:t>
            </w:r>
            <w:r>
              <w:rPr>
                <w:b/>
              </w:rPr>
              <w:t>eferences</w:t>
            </w:r>
            <w:r w:rsidRPr="00CA07DB">
              <w:rPr>
                <w:b/>
              </w:rPr>
              <w:t>:</w:t>
            </w:r>
          </w:p>
        </w:tc>
      </w:tr>
      <w:tr w:rsidR="009E5F3C" w14:paraId="5C748A12" w14:textId="77777777" w:rsidTr="00292BEF">
        <w:sdt>
          <w:sdtPr>
            <w:id w:val="212933590"/>
            <w:placeholder>
              <w:docPart w:val="C4991867720F49C19930584789DA5267"/>
            </w:placeholder>
          </w:sdtPr>
          <w:sdtEndPr/>
          <w:sdtContent>
            <w:tc>
              <w:tcPr>
                <w:tcW w:w="9576" w:type="dxa"/>
              </w:tcPr>
              <w:p w14:paraId="4AFF4BD0" w14:textId="77777777" w:rsidR="007527DE" w:rsidRPr="007527DE" w:rsidRDefault="007527DE" w:rsidP="007527DE">
                <w:r w:rsidRPr="007527DE">
                  <w:t>Ante IH, “The Fundamental Principles of Abutments,” </w:t>
                </w:r>
                <w:proofErr w:type="spellStart"/>
                <w:r w:rsidRPr="007527DE">
                  <w:rPr>
                    <w:i/>
                    <w:iCs/>
                  </w:rPr>
                  <w:t>Mich</w:t>
                </w:r>
                <w:proofErr w:type="spellEnd"/>
                <w:r w:rsidRPr="007527DE">
                  <w:rPr>
                    <w:i/>
                    <w:iCs/>
                  </w:rPr>
                  <w:t xml:space="preserve"> State Dent Soc Bull</w:t>
                </w:r>
                <w:r w:rsidRPr="007527DE">
                  <w:t>, 1926.</w:t>
                </w:r>
              </w:p>
              <w:p w14:paraId="3F0C52CA" w14:textId="77777777" w:rsidR="007527DE" w:rsidRPr="007527DE" w:rsidRDefault="007527DE" w:rsidP="007527DE">
                <w:r w:rsidRPr="007527DE">
                  <w:t>Jepsen A, “Root Surface Measurement and a Method for X-ray Determination of Root Surface Area,” </w:t>
                </w:r>
                <w:r w:rsidRPr="007527DE">
                  <w:rPr>
                    <w:i/>
                    <w:iCs/>
                  </w:rPr>
                  <w:t xml:space="preserve">Acta </w:t>
                </w:r>
                <w:proofErr w:type="spellStart"/>
                <w:r w:rsidRPr="007527DE">
                  <w:rPr>
                    <w:i/>
                    <w:iCs/>
                  </w:rPr>
                  <w:t>Odontol</w:t>
                </w:r>
                <w:proofErr w:type="spellEnd"/>
                <w:r w:rsidRPr="007527DE">
                  <w:rPr>
                    <w:i/>
                    <w:iCs/>
                  </w:rPr>
                  <w:t xml:space="preserve"> </w:t>
                </w:r>
                <w:proofErr w:type="spellStart"/>
                <w:r w:rsidRPr="007527DE">
                  <w:rPr>
                    <w:i/>
                    <w:iCs/>
                  </w:rPr>
                  <w:t>Scand</w:t>
                </w:r>
                <w:proofErr w:type="spellEnd"/>
                <w:r w:rsidRPr="007527DE">
                  <w:t>, 1963.</w:t>
                </w:r>
              </w:p>
              <w:p w14:paraId="56D0DC42" w14:textId="391CB199" w:rsidR="007527DE" w:rsidRPr="007527DE" w:rsidRDefault="007527DE" w:rsidP="007527DE">
                <w:r w:rsidRPr="007527DE">
                  <w:t>Lexicomp for Dentistry. (March 28</w:t>
                </w:r>
                <w:r w:rsidR="0031492D">
                  <w:t>, 2013</w:t>
                </w:r>
                <w:r w:rsidRPr="007527DE">
                  <w:t>). Average Root Surface Area and Fixed Prosthetic Replacements. Retrieved October 18, 2020, from http://0-online.lexi.com.libus.csd.mu.edu/lco/action/doc/retrieve/docid/ihcd/908997?cesid=alto6QAHG0s</w:t>
                </w:r>
              </w:p>
              <w:p w14:paraId="0C275856" w14:textId="259EB7C1" w:rsidR="009E5F3C" w:rsidRDefault="009E5F3C" w:rsidP="00292BEF"/>
            </w:tc>
          </w:sdtContent>
        </w:sdt>
      </w:tr>
    </w:tbl>
    <w:p w14:paraId="7DE1C288"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A899" w14:textId="77777777" w:rsidR="00BF7AD4" w:rsidRDefault="00BF7AD4" w:rsidP="00292BEF">
      <w:r>
        <w:separator/>
      </w:r>
    </w:p>
  </w:endnote>
  <w:endnote w:type="continuationSeparator" w:id="0">
    <w:p w14:paraId="73A83914" w14:textId="77777777" w:rsidR="00BF7AD4" w:rsidRDefault="00BF7AD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B6B84" w14:textId="77777777" w:rsidR="00BF7AD4" w:rsidRDefault="00BF7AD4" w:rsidP="00292BEF">
      <w:r>
        <w:separator/>
      </w:r>
    </w:p>
  </w:footnote>
  <w:footnote w:type="continuationSeparator" w:id="0">
    <w:p w14:paraId="6A83328D" w14:textId="77777777" w:rsidR="00BF7AD4" w:rsidRDefault="00BF7AD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A9AD8" w14:textId="77777777" w:rsidR="00292BEF" w:rsidRPr="00292BEF" w:rsidRDefault="00292BEF" w:rsidP="00292BEF">
    <w:pPr>
      <w:pStyle w:val="Header"/>
      <w:jc w:val="right"/>
      <w:rPr>
        <w:sz w:val="28"/>
      </w:rPr>
    </w:pPr>
    <w:r w:rsidRPr="00292BEF">
      <w:rPr>
        <w:sz w:val="28"/>
      </w:rPr>
      <w:t>MUSoD Rounds</w:t>
    </w:r>
  </w:p>
  <w:p w14:paraId="60A35012" w14:textId="77777777" w:rsidR="00292BEF" w:rsidRDefault="00292BEF" w:rsidP="00292BEF">
    <w:pPr>
      <w:pStyle w:val="Header"/>
      <w:jc w:val="right"/>
      <w:rPr>
        <w:sz w:val="28"/>
      </w:rPr>
    </w:pPr>
    <w:r w:rsidRPr="00292BEF">
      <w:rPr>
        <w:sz w:val="28"/>
      </w:rPr>
      <w:t>D1 Basic Science</w:t>
    </w:r>
  </w:p>
  <w:p w14:paraId="7443A943" w14:textId="77777777" w:rsidR="00292BEF" w:rsidRDefault="00292BEF" w:rsidP="00292BEF">
    <w:pPr>
      <w:pStyle w:val="Header"/>
      <w:jc w:val="right"/>
      <w:rPr>
        <w:sz w:val="28"/>
      </w:rPr>
    </w:pPr>
  </w:p>
  <w:p w14:paraId="62C170AA"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828AE"/>
    <w:multiLevelType w:val="hybridMultilevel"/>
    <w:tmpl w:val="ABD0F20C"/>
    <w:lvl w:ilvl="0" w:tplc="3B08F2E0">
      <w:start w:val="1"/>
      <w:numFmt w:val="bullet"/>
      <w:lvlText w:val=""/>
      <w:lvlJc w:val="left"/>
      <w:pPr>
        <w:tabs>
          <w:tab w:val="num" w:pos="720"/>
        </w:tabs>
        <w:ind w:left="720" w:hanging="360"/>
      </w:pPr>
      <w:rPr>
        <w:rFonts w:ascii="Wingdings 2" w:hAnsi="Wingdings 2" w:hint="default"/>
      </w:rPr>
    </w:lvl>
    <w:lvl w:ilvl="1" w:tplc="31E20996" w:tentative="1">
      <w:start w:val="1"/>
      <w:numFmt w:val="bullet"/>
      <w:lvlText w:val=""/>
      <w:lvlJc w:val="left"/>
      <w:pPr>
        <w:tabs>
          <w:tab w:val="num" w:pos="1440"/>
        </w:tabs>
        <w:ind w:left="1440" w:hanging="360"/>
      </w:pPr>
      <w:rPr>
        <w:rFonts w:ascii="Wingdings 2" w:hAnsi="Wingdings 2" w:hint="default"/>
      </w:rPr>
    </w:lvl>
    <w:lvl w:ilvl="2" w:tplc="120EF068" w:tentative="1">
      <w:start w:val="1"/>
      <w:numFmt w:val="bullet"/>
      <w:lvlText w:val=""/>
      <w:lvlJc w:val="left"/>
      <w:pPr>
        <w:tabs>
          <w:tab w:val="num" w:pos="2160"/>
        </w:tabs>
        <w:ind w:left="2160" w:hanging="360"/>
      </w:pPr>
      <w:rPr>
        <w:rFonts w:ascii="Wingdings 2" w:hAnsi="Wingdings 2" w:hint="default"/>
      </w:rPr>
    </w:lvl>
    <w:lvl w:ilvl="3" w:tplc="8EC0FD50" w:tentative="1">
      <w:start w:val="1"/>
      <w:numFmt w:val="bullet"/>
      <w:lvlText w:val=""/>
      <w:lvlJc w:val="left"/>
      <w:pPr>
        <w:tabs>
          <w:tab w:val="num" w:pos="2880"/>
        </w:tabs>
        <w:ind w:left="2880" w:hanging="360"/>
      </w:pPr>
      <w:rPr>
        <w:rFonts w:ascii="Wingdings 2" w:hAnsi="Wingdings 2" w:hint="default"/>
      </w:rPr>
    </w:lvl>
    <w:lvl w:ilvl="4" w:tplc="95B601F2" w:tentative="1">
      <w:start w:val="1"/>
      <w:numFmt w:val="bullet"/>
      <w:lvlText w:val=""/>
      <w:lvlJc w:val="left"/>
      <w:pPr>
        <w:tabs>
          <w:tab w:val="num" w:pos="3600"/>
        </w:tabs>
        <w:ind w:left="3600" w:hanging="360"/>
      </w:pPr>
      <w:rPr>
        <w:rFonts w:ascii="Wingdings 2" w:hAnsi="Wingdings 2" w:hint="default"/>
      </w:rPr>
    </w:lvl>
    <w:lvl w:ilvl="5" w:tplc="F8905D32" w:tentative="1">
      <w:start w:val="1"/>
      <w:numFmt w:val="bullet"/>
      <w:lvlText w:val=""/>
      <w:lvlJc w:val="left"/>
      <w:pPr>
        <w:tabs>
          <w:tab w:val="num" w:pos="4320"/>
        </w:tabs>
        <w:ind w:left="4320" w:hanging="360"/>
      </w:pPr>
      <w:rPr>
        <w:rFonts w:ascii="Wingdings 2" w:hAnsi="Wingdings 2" w:hint="default"/>
      </w:rPr>
    </w:lvl>
    <w:lvl w:ilvl="6" w:tplc="CDF6CDB6" w:tentative="1">
      <w:start w:val="1"/>
      <w:numFmt w:val="bullet"/>
      <w:lvlText w:val=""/>
      <w:lvlJc w:val="left"/>
      <w:pPr>
        <w:tabs>
          <w:tab w:val="num" w:pos="5040"/>
        </w:tabs>
        <w:ind w:left="5040" w:hanging="360"/>
      </w:pPr>
      <w:rPr>
        <w:rFonts w:ascii="Wingdings 2" w:hAnsi="Wingdings 2" w:hint="default"/>
      </w:rPr>
    </w:lvl>
    <w:lvl w:ilvl="7" w:tplc="5BFA1354" w:tentative="1">
      <w:start w:val="1"/>
      <w:numFmt w:val="bullet"/>
      <w:lvlText w:val=""/>
      <w:lvlJc w:val="left"/>
      <w:pPr>
        <w:tabs>
          <w:tab w:val="num" w:pos="5760"/>
        </w:tabs>
        <w:ind w:left="5760" w:hanging="360"/>
      </w:pPr>
      <w:rPr>
        <w:rFonts w:ascii="Wingdings 2" w:hAnsi="Wingdings 2" w:hint="default"/>
      </w:rPr>
    </w:lvl>
    <w:lvl w:ilvl="8" w:tplc="D0C8038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B506B"/>
    <w:rsid w:val="002223D1"/>
    <w:rsid w:val="00246C4B"/>
    <w:rsid w:val="00292BEF"/>
    <w:rsid w:val="0031492D"/>
    <w:rsid w:val="003440A0"/>
    <w:rsid w:val="00527623"/>
    <w:rsid w:val="005846E0"/>
    <w:rsid w:val="006111B7"/>
    <w:rsid w:val="006B50F8"/>
    <w:rsid w:val="0071691F"/>
    <w:rsid w:val="007527DE"/>
    <w:rsid w:val="007B6610"/>
    <w:rsid w:val="007D282C"/>
    <w:rsid w:val="00851F21"/>
    <w:rsid w:val="00916F08"/>
    <w:rsid w:val="009E5F3C"/>
    <w:rsid w:val="00B50056"/>
    <w:rsid w:val="00BF7AD4"/>
    <w:rsid w:val="00CA07DB"/>
    <w:rsid w:val="00CA1BEB"/>
    <w:rsid w:val="00DF1FAB"/>
    <w:rsid w:val="00F30C8C"/>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8B1F"/>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0B506B"/>
    <w:pPr>
      <w:widowControl/>
      <w:spacing w:before="100" w:beforeAutospacing="1" w:after="100" w:afterAutospacing="1"/>
    </w:pPr>
    <w:rPr>
      <w:snapToGrid/>
      <w:szCs w:val="24"/>
    </w:rPr>
  </w:style>
  <w:style w:type="paragraph" w:styleId="ListParagraph">
    <w:name w:val="List Paragraph"/>
    <w:basedOn w:val="Normal"/>
    <w:uiPriority w:val="34"/>
    <w:qFormat/>
    <w:locked/>
    <w:rsid w:val="00527623"/>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3321">
      <w:bodyDiv w:val="1"/>
      <w:marLeft w:val="0"/>
      <w:marRight w:val="0"/>
      <w:marTop w:val="0"/>
      <w:marBottom w:val="0"/>
      <w:divBdr>
        <w:top w:val="none" w:sz="0" w:space="0" w:color="auto"/>
        <w:left w:val="none" w:sz="0" w:space="0" w:color="auto"/>
        <w:bottom w:val="none" w:sz="0" w:space="0" w:color="auto"/>
        <w:right w:val="none" w:sz="0" w:space="0" w:color="auto"/>
      </w:divBdr>
      <w:divsChild>
        <w:div w:id="1861815330">
          <w:marLeft w:val="691"/>
          <w:marRight w:val="0"/>
          <w:marTop w:val="0"/>
          <w:marBottom w:val="0"/>
          <w:divBdr>
            <w:top w:val="none" w:sz="0" w:space="0" w:color="auto"/>
            <w:left w:val="none" w:sz="0" w:space="0" w:color="auto"/>
            <w:bottom w:val="none" w:sz="0" w:space="0" w:color="auto"/>
            <w:right w:val="none" w:sz="0" w:space="0" w:color="auto"/>
          </w:divBdr>
        </w:div>
      </w:divsChild>
    </w:div>
    <w:div w:id="1408071355">
      <w:bodyDiv w:val="1"/>
      <w:marLeft w:val="0"/>
      <w:marRight w:val="0"/>
      <w:marTop w:val="0"/>
      <w:marBottom w:val="0"/>
      <w:divBdr>
        <w:top w:val="none" w:sz="0" w:space="0" w:color="auto"/>
        <w:left w:val="none" w:sz="0" w:space="0" w:color="auto"/>
        <w:bottom w:val="none" w:sz="0" w:space="0" w:color="auto"/>
        <w:right w:val="none" w:sz="0" w:space="0" w:color="auto"/>
      </w:divBdr>
    </w:div>
    <w:div w:id="14257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596FB6"/>
    <w:rsid w:val="0064749E"/>
    <w:rsid w:val="008806B5"/>
    <w:rsid w:val="009D0B7E"/>
    <w:rsid w:val="00A2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lexie schroeder</cp:lastModifiedBy>
  <cp:revision>5</cp:revision>
  <dcterms:created xsi:type="dcterms:W3CDTF">2020-10-28T17:44:00Z</dcterms:created>
  <dcterms:modified xsi:type="dcterms:W3CDTF">2020-10-28T17:48:00Z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