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415D"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713FD58B" w14:textId="77777777" w:rsidTr="002E6FF2">
        <w:tc>
          <w:tcPr>
            <w:tcW w:w="8640" w:type="dxa"/>
          </w:tcPr>
          <w:p w14:paraId="77EA4401"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70157F1F" w14:textId="77777777" w:rsidTr="002E6FF2">
        <w:sdt>
          <w:sdtPr>
            <w:rPr>
              <w:b/>
            </w:rPr>
            <w:id w:val="-1691829634"/>
            <w:placeholder>
              <w:docPart w:val="265D0461B31648B8AE71BBAA52322F9B"/>
            </w:placeholder>
          </w:sdtPr>
          <w:sdtEndPr/>
          <w:sdtContent>
            <w:tc>
              <w:tcPr>
                <w:tcW w:w="8640" w:type="dxa"/>
              </w:tcPr>
              <w:p w14:paraId="38F02703" w14:textId="19D11D59" w:rsidR="00692E4D" w:rsidRDefault="00377B3E" w:rsidP="002972EE">
                <w:pPr>
                  <w:ind w:left="0" w:firstLine="0"/>
                  <w:rPr>
                    <w:b/>
                  </w:rPr>
                </w:pPr>
                <w:r>
                  <w:rPr>
                    <w:b/>
                  </w:rPr>
                  <w:t xml:space="preserve">Camila Negron </w:t>
                </w:r>
              </w:p>
            </w:tc>
          </w:sdtContent>
        </w:sdt>
      </w:tr>
      <w:tr w:rsidR="00692E4D" w14:paraId="2B342265" w14:textId="77777777" w:rsidTr="002E6FF2">
        <w:tc>
          <w:tcPr>
            <w:tcW w:w="8640" w:type="dxa"/>
          </w:tcPr>
          <w:p w14:paraId="03BAAAB9"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62B99135" w14:textId="77777777" w:rsidTr="002E6FF2">
        <w:sdt>
          <w:sdtPr>
            <w:rPr>
              <w:b/>
            </w:rPr>
            <w:id w:val="-210194195"/>
            <w:placeholder>
              <w:docPart w:val="709D462CF2584603817D5F642DC05C21"/>
            </w:placeholder>
          </w:sdtPr>
          <w:sdtEndPr/>
          <w:sdtContent>
            <w:tc>
              <w:tcPr>
                <w:tcW w:w="8640" w:type="dxa"/>
              </w:tcPr>
              <w:p w14:paraId="0C4D5CC9" w14:textId="77777777" w:rsidR="00782CFF" w:rsidRDefault="00782CFF" w:rsidP="00692E4D">
                <w:pPr>
                  <w:ind w:left="0" w:firstLine="0"/>
                  <w:rPr>
                    <w:b/>
                  </w:rPr>
                </w:pPr>
                <w:r>
                  <w:rPr>
                    <w:b/>
                  </w:rPr>
                  <w:t xml:space="preserve">Tim </w:t>
                </w:r>
                <w:proofErr w:type="spellStart"/>
                <w:r>
                  <w:rPr>
                    <w:b/>
                  </w:rPr>
                  <w:t>Semon</w:t>
                </w:r>
                <w:proofErr w:type="spellEnd"/>
              </w:p>
              <w:p w14:paraId="17A7CE48" w14:textId="77AD9BCF" w:rsidR="00782CFF" w:rsidRDefault="00782CFF" w:rsidP="00692E4D">
                <w:pPr>
                  <w:ind w:left="0" w:firstLine="0"/>
                  <w:rPr>
                    <w:b/>
                  </w:rPr>
                </w:pPr>
                <w:r>
                  <w:rPr>
                    <w:b/>
                  </w:rPr>
                  <w:t>Camila Negron</w:t>
                </w:r>
              </w:p>
              <w:p w14:paraId="5A3F5AFE" w14:textId="639361B2" w:rsidR="00756D18" w:rsidRDefault="00756D18" w:rsidP="00692E4D">
                <w:pPr>
                  <w:ind w:left="0" w:firstLine="0"/>
                  <w:rPr>
                    <w:b/>
                  </w:rPr>
                </w:pPr>
                <w:r>
                  <w:rPr>
                    <w:b/>
                  </w:rPr>
                  <w:t xml:space="preserve">Nicholas </w:t>
                </w:r>
                <w:proofErr w:type="spellStart"/>
                <w:r>
                  <w:rPr>
                    <w:b/>
                  </w:rPr>
                  <w:t>Politis</w:t>
                </w:r>
                <w:proofErr w:type="spellEnd"/>
              </w:p>
              <w:p w14:paraId="2817DABC" w14:textId="315E9A89" w:rsidR="00756D18" w:rsidRDefault="00377B3E" w:rsidP="00692E4D">
                <w:pPr>
                  <w:ind w:left="0" w:firstLine="0"/>
                  <w:rPr>
                    <w:b/>
                  </w:rPr>
                </w:pPr>
                <w:proofErr w:type="spellStart"/>
                <w:r>
                  <w:rPr>
                    <w:b/>
                  </w:rPr>
                  <w:t>Theran</w:t>
                </w:r>
                <w:proofErr w:type="spellEnd"/>
                <w:r>
                  <w:rPr>
                    <w:b/>
                  </w:rPr>
                  <w:t xml:space="preserve"> Semrad</w:t>
                </w:r>
              </w:p>
              <w:p w14:paraId="0A185676" w14:textId="29F0D854" w:rsidR="00692E4D" w:rsidRDefault="00692E4D" w:rsidP="00692E4D">
                <w:pPr>
                  <w:ind w:left="0" w:firstLine="0"/>
                  <w:rPr>
                    <w:b/>
                  </w:rPr>
                </w:pPr>
              </w:p>
            </w:tc>
          </w:sdtContent>
        </w:sdt>
      </w:tr>
      <w:tr w:rsidR="00692E4D" w14:paraId="3B0CDC0E" w14:textId="77777777" w:rsidTr="002E6FF2">
        <w:tc>
          <w:tcPr>
            <w:tcW w:w="8640" w:type="dxa"/>
          </w:tcPr>
          <w:p w14:paraId="04047BC5" w14:textId="77777777" w:rsidR="00692E4D" w:rsidRDefault="00692E4D" w:rsidP="00692E4D">
            <w:pPr>
              <w:ind w:left="0" w:firstLine="0"/>
              <w:rPr>
                <w:b/>
              </w:rPr>
            </w:pPr>
            <w:r w:rsidRPr="00974240">
              <w:rPr>
                <w:b/>
              </w:rPr>
              <w:t>Clinical Question:</w:t>
            </w:r>
          </w:p>
        </w:tc>
      </w:tr>
      <w:tr w:rsidR="00692E4D" w14:paraId="2579AE02" w14:textId="77777777" w:rsidTr="002E6FF2">
        <w:sdt>
          <w:sdtPr>
            <w:rPr>
              <w:b/>
            </w:rPr>
            <w:id w:val="-1425953839"/>
            <w:placeholder>
              <w:docPart w:val="CB28A101A52146ED8ABC0548D1368A93"/>
            </w:placeholder>
          </w:sdtPr>
          <w:sdtEndPr/>
          <w:sdtContent>
            <w:tc>
              <w:tcPr>
                <w:tcW w:w="8640" w:type="dxa"/>
              </w:tcPr>
              <w:p w14:paraId="7762D45B" w14:textId="07D572DE" w:rsidR="00692E4D" w:rsidRDefault="000F733A" w:rsidP="00692E4D">
                <w:pPr>
                  <w:ind w:left="0" w:firstLine="0"/>
                  <w:rPr>
                    <w:b/>
                  </w:rPr>
                </w:pPr>
                <w:r w:rsidRPr="000F733A">
                  <w:rPr>
                    <w:b/>
                  </w:rPr>
                  <w:t>How can the risk of osteonecrosis be reduced in patients requiring extractions after bisphosphonate use?</w:t>
                </w:r>
              </w:p>
            </w:tc>
          </w:sdtContent>
        </w:sdt>
      </w:tr>
      <w:tr w:rsidR="00692E4D" w14:paraId="71967182" w14:textId="77777777" w:rsidTr="002E6FF2">
        <w:tc>
          <w:tcPr>
            <w:tcW w:w="8640" w:type="dxa"/>
          </w:tcPr>
          <w:p w14:paraId="48153B72" w14:textId="77777777" w:rsidR="00692E4D" w:rsidRDefault="00692E4D" w:rsidP="00692E4D">
            <w:pPr>
              <w:ind w:left="0" w:firstLine="0"/>
              <w:rPr>
                <w:b/>
              </w:rPr>
            </w:pPr>
            <w:r w:rsidRPr="00974240">
              <w:rPr>
                <w:b/>
              </w:rPr>
              <w:t>PICO Format:</w:t>
            </w:r>
          </w:p>
        </w:tc>
      </w:tr>
      <w:tr w:rsidR="00692E4D" w14:paraId="54A9D8E2" w14:textId="77777777" w:rsidTr="002E6FF2">
        <w:tc>
          <w:tcPr>
            <w:tcW w:w="8640" w:type="dxa"/>
          </w:tcPr>
          <w:p w14:paraId="338D740D" w14:textId="77777777" w:rsidR="00692E4D" w:rsidRDefault="00692E4D" w:rsidP="00692E4D">
            <w:pPr>
              <w:ind w:left="0" w:firstLine="0"/>
              <w:rPr>
                <w:b/>
              </w:rPr>
            </w:pPr>
            <w:r>
              <w:rPr>
                <w:b/>
              </w:rPr>
              <w:t>P:</w:t>
            </w:r>
          </w:p>
        </w:tc>
      </w:tr>
      <w:tr w:rsidR="00692E4D" w14:paraId="7262087C" w14:textId="77777777" w:rsidTr="002E6FF2">
        <w:sdt>
          <w:sdtPr>
            <w:rPr>
              <w:b/>
            </w:rPr>
            <w:id w:val="514967572"/>
            <w:placeholder>
              <w:docPart w:val="0B496F479641478AA9C18C45B5269562"/>
            </w:placeholder>
          </w:sdtPr>
          <w:sdtEndPr/>
          <w:sdtContent>
            <w:tc>
              <w:tcPr>
                <w:tcW w:w="8640" w:type="dxa"/>
              </w:tcPr>
              <w:p w14:paraId="12F23EDB" w14:textId="3C6CD48A" w:rsidR="00692E4D" w:rsidRDefault="00FC6818" w:rsidP="00692E4D">
                <w:pPr>
                  <w:ind w:left="0" w:firstLine="0"/>
                  <w:rPr>
                    <w:b/>
                  </w:rPr>
                </w:pPr>
                <w:r w:rsidRPr="00FC6818">
                  <w:rPr>
                    <w:b/>
                  </w:rPr>
                  <w:t>Patient with gross decay on tooth taking bisphosphonates</w:t>
                </w:r>
              </w:p>
            </w:tc>
          </w:sdtContent>
        </w:sdt>
      </w:tr>
      <w:tr w:rsidR="00692E4D" w14:paraId="4A51CBA8" w14:textId="77777777" w:rsidTr="002E6FF2">
        <w:tc>
          <w:tcPr>
            <w:tcW w:w="8640" w:type="dxa"/>
          </w:tcPr>
          <w:p w14:paraId="35EC6E57" w14:textId="77777777" w:rsidR="00692E4D" w:rsidRDefault="00692E4D" w:rsidP="00692E4D">
            <w:pPr>
              <w:ind w:left="0" w:firstLine="0"/>
              <w:rPr>
                <w:b/>
              </w:rPr>
            </w:pPr>
            <w:r>
              <w:rPr>
                <w:b/>
              </w:rPr>
              <w:t>I:</w:t>
            </w:r>
          </w:p>
        </w:tc>
      </w:tr>
      <w:tr w:rsidR="00692E4D" w14:paraId="51135580" w14:textId="77777777" w:rsidTr="002E6FF2">
        <w:sdt>
          <w:sdtPr>
            <w:rPr>
              <w:b/>
            </w:rPr>
            <w:id w:val="-2083594704"/>
            <w:placeholder>
              <w:docPart w:val="420E726688A04571878AAF0AAEBEC280"/>
            </w:placeholder>
          </w:sdtPr>
          <w:sdtEndPr/>
          <w:sdtContent>
            <w:tc>
              <w:tcPr>
                <w:tcW w:w="8640" w:type="dxa"/>
              </w:tcPr>
              <w:p w14:paraId="3EFED3E2" w14:textId="09F1315E" w:rsidR="00692E4D" w:rsidRDefault="00FC6818" w:rsidP="00692E4D">
                <w:pPr>
                  <w:ind w:left="0" w:firstLine="0"/>
                  <w:rPr>
                    <w:b/>
                  </w:rPr>
                </w:pPr>
                <w:r w:rsidRPr="00FC6818">
                  <w:rPr>
                    <w:b/>
                  </w:rPr>
                  <w:t>Extraction of tooth with delayed treatment</w:t>
                </w:r>
              </w:p>
            </w:tc>
          </w:sdtContent>
        </w:sdt>
      </w:tr>
      <w:tr w:rsidR="00692E4D" w14:paraId="0F48E6E0" w14:textId="77777777" w:rsidTr="002E6FF2">
        <w:tc>
          <w:tcPr>
            <w:tcW w:w="8640" w:type="dxa"/>
          </w:tcPr>
          <w:p w14:paraId="6DC3E584" w14:textId="77777777" w:rsidR="00692E4D" w:rsidRDefault="00692E4D" w:rsidP="00692E4D">
            <w:pPr>
              <w:ind w:left="0" w:firstLine="0"/>
              <w:rPr>
                <w:b/>
              </w:rPr>
            </w:pPr>
            <w:r>
              <w:rPr>
                <w:b/>
              </w:rPr>
              <w:t>C:</w:t>
            </w:r>
          </w:p>
        </w:tc>
      </w:tr>
      <w:tr w:rsidR="00692E4D" w14:paraId="47D0A7D4" w14:textId="77777777" w:rsidTr="002E6FF2">
        <w:sdt>
          <w:sdtPr>
            <w:rPr>
              <w:b/>
            </w:rPr>
            <w:id w:val="2101905041"/>
            <w:placeholder>
              <w:docPart w:val="A4680AC4DEF54CC7849DE12213A3FF7E"/>
            </w:placeholder>
          </w:sdtPr>
          <w:sdtEndPr/>
          <w:sdtContent>
            <w:tc>
              <w:tcPr>
                <w:tcW w:w="8640" w:type="dxa"/>
              </w:tcPr>
              <w:p w14:paraId="7ACDE4D5" w14:textId="263B60E5" w:rsidR="00692E4D" w:rsidRDefault="00FC6818" w:rsidP="00692E4D">
                <w:pPr>
                  <w:ind w:left="0" w:firstLine="0"/>
                  <w:rPr>
                    <w:b/>
                  </w:rPr>
                </w:pPr>
                <w:r w:rsidRPr="00FC6818">
                  <w:rPr>
                    <w:b/>
                  </w:rPr>
                  <w:t>versus extraction of tooth during treatment</w:t>
                </w:r>
              </w:p>
            </w:tc>
          </w:sdtContent>
        </w:sdt>
      </w:tr>
      <w:tr w:rsidR="00692E4D" w14:paraId="222B9A44" w14:textId="77777777" w:rsidTr="002E6FF2">
        <w:tc>
          <w:tcPr>
            <w:tcW w:w="8640" w:type="dxa"/>
          </w:tcPr>
          <w:p w14:paraId="2AC351F3" w14:textId="77777777" w:rsidR="00692E4D" w:rsidRDefault="00692E4D" w:rsidP="00692E4D">
            <w:pPr>
              <w:ind w:left="0" w:firstLine="0"/>
              <w:rPr>
                <w:b/>
              </w:rPr>
            </w:pPr>
            <w:r>
              <w:rPr>
                <w:b/>
              </w:rPr>
              <w:t>O:</w:t>
            </w:r>
          </w:p>
        </w:tc>
      </w:tr>
      <w:tr w:rsidR="00692E4D" w14:paraId="45639AC7" w14:textId="77777777" w:rsidTr="002E6FF2">
        <w:sdt>
          <w:sdtPr>
            <w:rPr>
              <w:b/>
            </w:rPr>
            <w:id w:val="1006642820"/>
            <w:placeholder>
              <w:docPart w:val="491FF049B12E4104A025C1A006DFA7B9"/>
            </w:placeholder>
          </w:sdtPr>
          <w:sdtEndPr/>
          <w:sdtContent>
            <w:tc>
              <w:tcPr>
                <w:tcW w:w="8640" w:type="dxa"/>
              </w:tcPr>
              <w:p w14:paraId="7DC9E503" w14:textId="1B352CB0" w:rsidR="00692E4D" w:rsidRDefault="00EE6719" w:rsidP="00692E4D">
                <w:pPr>
                  <w:ind w:left="0" w:firstLine="0"/>
                  <w:rPr>
                    <w:b/>
                  </w:rPr>
                </w:pPr>
                <w:r w:rsidRPr="00EE6719">
                  <w:rPr>
                    <w:b/>
                  </w:rPr>
                  <w:t>decreases the likelihood of osteonecrosis</w:t>
                </w:r>
              </w:p>
            </w:tc>
          </w:sdtContent>
        </w:sdt>
      </w:tr>
      <w:tr w:rsidR="00692E4D" w14:paraId="376262A6" w14:textId="77777777" w:rsidTr="002E6FF2">
        <w:tc>
          <w:tcPr>
            <w:tcW w:w="8640" w:type="dxa"/>
          </w:tcPr>
          <w:p w14:paraId="19359358" w14:textId="77777777" w:rsidR="00692E4D" w:rsidRDefault="00692E4D" w:rsidP="00692E4D">
            <w:pPr>
              <w:ind w:left="0" w:firstLine="0"/>
              <w:rPr>
                <w:b/>
              </w:rPr>
            </w:pPr>
            <w:r w:rsidRPr="00974240">
              <w:rPr>
                <w:b/>
              </w:rPr>
              <w:t>PICO Formatted Question:</w:t>
            </w:r>
          </w:p>
        </w:tc>
      </w:tr>
      <w:tr w:rsidR="00692E4D" w14:paraId="4ADCC511" w14:textId="77777777" w:rsidTr="002E6FF2">
        <w:sdt>
          <w:sdtPr>
            <w:rPr>
              <w:b/>
            </w:rPr>
            <w:id w:val="298496509"/>
            <w:placeholder>
              <w:docPart w:val="58AC952842CD48FCA1D1B8F39F5BBACF"/>
            </w:placeholder>
          </w:sdtPr>
          <w:sdtEndPr/>
          <w:sdtContent>
            <w:tc>
              <w:tcPr>
                <w:tcW w:w="8640" w:type="dxa"/>
              </w:tcPr>
              <w:p w14:paraId="546F3F50" w14:textId="3FA4AB43" w:rsidR="00692E4D" w:rsidRDefault="00CE1844" w:rsidP="00692E4D">
                <w:pPr>
                  <w:ind w:left="0" w:firstLine="0"/>
                  <w:rPr>
                    <w:b/>
                  </w:rPr>
                </w:pPr>
                <w:r w:rsidRPr="00CE1844">
                  <w:rPr>
                    <w:b/>
                  </w:rPr>
                  <w:t>In patients with previous bisphosphonate use, will the delayed treatment increase the prognosis vs. continued treatment while proceeding with extraction?</w:t>
                </w:r>
              </w:p>
            </w:tc>
          </w:sdtContent>
        </w:sdt>
      </w:tr>
      <w:tr w:rsidR="00692E4D" w14:paraId="77B6AFF3" w14:textId="77777777" w:rsidTr="002E6FF2">
        <w:tc>
          <w:tcPr>
            <w:tcW w:w="8640" w:type="dxa"/>
          </w:tcPr>
          <w:p w14:paraId="1280F153" w14:textId="77777777" w:rsidR="00692E4D" w:rsidRDefault="00692E4D" w:rsidP="00692E4D">
            <w:pPr>
              <w:ind w:left="0" w:firstLine="0"/>
              <w:rPr>
                <w:b/>
              </w:rPr>
            </w:pPr>
            <w:r>
              <w:rPr>
                <w:b/>
              </w:rPr>
              <w:t>Clinical Bottom Line:</w:t>
            </w:r>
          </w:p>
        </w:tc>
      </w:tr>
      <w:tr w:rsidR="00692E4D" w14:paraId="41515F58" w14:textId="77777777" w:rsidTr="002E6FF2">
        <w:sdt>
          <w:sdtPr>
            <w:rPr>
              <w:b/>
            </w:rPr>
            <w:id w:val="-510995683"/>
            <w:placeholder>
              <w:docPart w:val="12269E3C445F4AFF9F69E274B92646A1"/>
            </w:placeholder>
          </w:sdtPr>
          <w:sdtEndPr/>
          <w:sdtContent>
            <w:tc>
              <w:tcPr>
                <w:tcW w:w="8640" w:type="dxa"/>
              </w:tcPr>
              <w:p w14:paraId="36890353" w14:textId="2005F7C0" w:rsidR="00692E4D" w:rsidRDefault="00174B1A" w:rsidP="00692E4D">
                <w:pPr>
                  <w:ind w:left="0" w:firstLine="0"/>
                  <w:rPr>
                    <w:b/>
                  </w:rPr>
                </w:pPr>
                <w:r w:rsidRPr="00174B1A">
                  <w:rPr>
                    <w:b/>
                  </w:rPr>
                  <w:t>Patient needs to have non-restorable #18 treated while being treated with Denosumab (Prolia) injections</w:t>
                </w:r>
                <w:r w:rsidR="00CE1844">
                  <w:rPr>
                    <w:b/>
                  </w:rPr>
                  <w:t xml:space="preserve">, and previous bisphosphonate use. </w:t>
                </w:r>
              </w:p>
            </w:tc>
          </w:sdtContent>
        </w:sdt>
      </w:tr>
      <w:tr w:rsidR="00692E4D" w14:paraId="0CCA20B6" w14:textId="77777777" w:rsidTr="002E6FF2">
        <w:tc>
          <w:tcPr>
            <w:tcW w:w="8640" w:type="dxa"/>
          </w:tcPr>
          <w:p w14:paraId="69C384CA" w14:textId="77777777" w:rsidR="00692E4D" w:rsidRDefault="00692E4D" w:rsidP="00692E4D">
            <w:pPr>
              <w:ind w:left="0" w:firstLine="0"/>
              <w:rPr>
                <w:b/>
              </w:rPr>
            </w:pPr>
            <w:r>
              <w:rPr>
                <w:b/>
              </w:rPr>
              <w:t xml:space="preserve">Date(s) of Search:  </w:t>
            </w:r>
          </w:p>
        </w:tc>
      </w:tr>
      <w:tr w:rsidR="00692E4D" w14:paraId="0EB82DF3" w14:textId="77777777" w:rsidTr="002E6FF2">
        <w:sdt>
          <w:sdtPr>
            <w:rPr>
              <w:b/>
            </w:rPr>
            <w:id w:val="-342713550"/>
            <w:placeholder>
              <w:docPart w:val="466C71B47DF74921A6B47A58D402D919"/>
            </w:placeholder>
          </w:sdtPr>
          <w:sdtEndPr/>
          <w:sdtContent>
            <w:tc>
              <w:tcPr>
                <w:tcW w:w="8640" w:type="dxa"/>
              </w:tcPr>
              <w:p w14:paraId="4155AC1A" w14:textId="19735701" w:rsidR="00692E4D" w:rsidRDefault="00A5376E" w:rsidP="00692E4D">
                <w:pPr>
                  <w:ind w:left="0" w:firstLine="0"/>
                  <w:rPr>
                    <w:b/>
                  </w:rPr>
                </w:pPr>
                <w:r>
                  <w:rPr>
                    <w:b/>
                  </w:rPr>
                  <w:t>10/20/2020</w:t>
                </w:r>
              </w:p>
            </w:tc>
          </w:sdtContent>
        </w:sdt>
      </w:tr>
      <w:tr w:rsidR="00692E4D" w14:paraId="63C15DA6" w14:textId="77777777" w:rsidTr="002E6FF2">
        <w:tc>
          <w:tcPr>
            <w:tcW w:w="8640" w:type="dxa"/>
          </w:tcPr>
          <w:p w14:paraId="4AC78836" w14:textId="77777777" w:rsidR="00692E4D" w:rsidRDefault="00692E4D" w:rsidP="00692E4D">
            <w:pPr>
              <w:ind w:left="0" w:firstLine="0"/>
              <w:rPr>
                <w:b/>
              </w:rPr>
            </w:pPr>
            <w:r w:rsidRPr="00974240">
              <w:rPr>
                <w:b/>
              </w:rPr>
              <w:t>Database(s) Used:</w:t>
            </w:r>
          </w:p>
        </w:tc>
      </w:tr>
      <w:tr w:rsidR="00692E4D" w14:paraId="0E61549E" w14:textId="77777777" w:rsidTr="002E6FF2">
        <w:sdt>
          <w:sdtPr>
            <w:rPr>
              <w:b/>
            </w:rPr>
            <w:id w:val="-715277583"/>
            <w:placeholder>
              <w:docPart w:val="6AB78782A9C14C6FA3D51C027BBFB25B"/>
            </w:placeholder>
          </w:sdtPr>
          <w:sdtEndPr/>
          <w:sdtContent>
            <w:tc>
              <w:tcPr>
                <w:tcW w:w="8640" w:type="dxa"/>
              </w:tcPr>
              <w:p w14:paraId="0C32A7F0" w14:textId="093547A2" w:rsidR="00692E4D" w:rsidRPr="00974240" w:rsidRDefault="00EA6030" w:rsidP="00692E4D">
                <w:pPr>
                  <w:ind w:left="0" w:firstLine="0"/>
                  <w:rPr>
                    <w:b/>
                  </w:rPr>
                </w:pPr>
                <w:r>
                  <w:rPr>
                    <w:b/>
                  </w:rPr>
                  <w:t>PubMed</w:t>
                </w:r>
              </w:p>
            </w:tc>
          </w:sdtContent>
        </w:sdt>
      </w:tr>
      <w:tr w:rsidR="00692E4D" w14:paraId="307B86E2" w14:textId="77777777" w:rsidTr="002E6FF2">
        <w:tc>
          <w:tcPr>
            <w:tcW w:w="8640" w:type="dxa"/>
          </w:tcPr>
          <w:p w14:paraId="46F7EE3D" w14:textId="77777777" w:rsidR="00692E4D" w:rsidRPr="00974240" w:rsidRDefault="00692E4D" w:rsidP="00692E4D">
            <w:pPr>
              <w:ind w:left="0" w:firstLine="0"/>
              <w:rPr>
                <w:b/>
              </w:rPr>
            </w:pPr>
            <w:r w:rsidRPr="00974240">
              <w:rPr>
                <w:b/>
              </w:rPr>
              <w:t>Search Strategy/Keywords:</w:t>
            </w:r>
          </w:p>
        </w:tc>
      </w:tr>
      <w:tr w:rsidR="00692E4D" w14:paraId="24B6DD53" w14:textId="77777777" w:rsidTr="002E6FF2">
        <w:sdt>
          <w:sdtPr>
            <w:rPr>
              <w:b/>
            </w:rPr>
            <w:id w:val="-231853169"/>
            <w:placeholder>
              <w:docPart w:val="1A95CA3E8ED24FABAB9FCF2456258FBC"/>
            </w:placeholder>
          </w:sdtPr>
          <w:sdtEndPr/>
          <w:sdtContent>
            <w:tc>
              <w:tcPr>
                <w:tcW w:w="8640" w:type="dxa"/>
              </w:tcPr>
              <w:p w14:paraId="0DF25516" w14:textId="069EF240" w:rsidR="00692E4D" w:rsidRPr="00974240" w:rsidRDefault="005F5AA1" w:rsidP="00692E4D">
                <w:pPr>
                  <w:ind w:left="0" w:firstLine="0"/>
                  <w:rPr>
                    <w:b/>
                  </w:rPr>
                </w:pPr>
                <w:r w:rsidRPr="005F5AA1">
                  <w:rPr>
                    <w:b/>
                  </w:rPr>
                  <w:t>Bisphosphonates, dental extractions, osteonecrosis, denosumab</w:t>
                </w:r>
              </w:p>
            </w:tc>
          </w:sdtContent>
        </w:sdt>
      </w:tr>
      <w:tr w:rsidR="00692E4D" w14:paraId="671E03AF" w14:textId="77777777" w:rsidTr="002E6FF2">
        <w:tc>
          <w:tcPr>
            <w:tcW w:w="8640" w:type="dxa"/>
          </w:tcPr>
          <w:p w14:paraId="165572B3" w14:textId="77777777" w:rsidR="00692E4D" w:rsidRPr="00974240" w:rsidRDefault="00692E4D" w:rsidP="00692E4D">
            <w:pPr>
              <w:ind w:left="0" w:firstLine="0"/>
              <w:rPr>
                <w:b/>
              </w:rPr>
            </w:pPr>
            <w:r>
              <w:rPr>
                <w:b/>
              </w:rPr>
              <w:t>MESH terms used:</w:t>
            </w:r>
          </w:p>
        </w:tc>
      </w:tr>
      <w:tr w:rsidR="00692E4D" w14:paraId="228E832C" w14:textId="77777777" w:rsidTr="002E6FF2">
        <w:sdt>
          <w:sdtPr>
            <w:rPr>
              <w:b/>
            </w:rPr>
            <w:id w:val="1890758709"/>
            <w:placeholder>
              <w:docPart w:val="7E910305951F4A7C93AA7626015B1AED"/>
            </w:placeholder>
          </w:sdtPr>
          <w:sdtEndPr/>
          <w:sdtContent>
            <w:tc>
              <w:tcPr>
                <w:tcW w:w="8640" w:type="dxa"/>
              </w:tcPr>
              <w:p w14:paraId="0580356E" w14:textId="35C02770" w:rsidR="00692E4D" w:rsidRPr="00974240" w:rsidRDefault="005B0029" w:rsidP="00692E4D">
                <w:pPr>
                  <w:ind w:left="0" w:firstLine="0"/>
                  <w:rPr>
                    <w:b/>
                  </w:rPr>
                </w:pPr>
                <w:r w:rsidRPr="005B0029">
                  <w:rPr>
                    <w:b/>
                  </w:rPr>
                  <w:t>Osteonecrosis/chemically induced, Osteonecrosis/ prevention &amp; control, Bisphosphonate-Associated Osteonecrosis of the Jaw, drug holiday, Denosumab, Dental Extractions</w:t>
                </w:r>
              </w:p>
            </w:tc>
          </w:sdtContent>
        </w:sdt>
      </w:tr>
      <w:tr w:rsidR="00692E4D" w14:paraId="6500ED7A" w14:textId="77777777" w:rsidTr="002E6FF2">
        <w:tc>
          <w:tcPr>
            <w:tcW w:w="8640" w:type="dxa"/>
          </w:tcPr>
          <w:p w14:paraId="504AEA07" w14:textId="77777777" w:rsidR="00692E4D" w:rsidRPr="00974240" w:rsidRDefault="00692E4D" w:rsidP="00692E4D">
            <w:pPr>
              <w:ind w:left="0" w:firstLine="0"/>
              <w:rPr>
                <w:b/>
              </w:rPr>
            </w:pPr>
            <w:r w:rsidRPr="00974240">
              <w:rPr>
                <w:b/>
              </w:rPr>
              <w:t>Article(s) Cited:</w:t>
            </w:r>
          </w:p>
        </w:tc>
      </w:tr>
      <w:tr w:rsidR="00692E4D" w14:paraId="64ED7C62" w14:textId="77777777" w:rsidTr="002E6FF2">
        <w:sdt>
          <w:sdtPr>
            <w:id w:val="-938752678"/>
            <w:placeholder>
              <w:docPart w:val="E8F2534F808F4ECBB4F5D259E7F4B4F2"/>
            </w:placeholder>
          </w:sdtPr>
          <w:sdtEndPr/>
          <w:sdtContent>
            <w:tc>
              <w:tcPr>
                <w:tcW w:w="8640" w:type="dxa"/>
              </w:tcPr>
              <w:sdt>
                <w:sdtPr>
                  <w:id w:val="-2070411444"/>
                  <w:placeholder>
                    <w:docPart w:val="D23F47C4AF42476C901DF28CAA65AE9B"/>
                  </w:placeholder>
                </w:sdtPr>
                <w:sdtContent>
                  <w:p w14:paraId="17204C68" w14:textId="77777777" w:rsidR="00362682" w:rsidRPr="00E65720" w:rsidRDefault="00362682" w:rsidP="00362682">
                    <w:pPr>
                      <w:pStyle w:val="ListParagraph"/>
                      <w:numPr>
                        <w:ilvl w:val="0"/>
                        <w:numId w:val="11"/>
                      </w:numPr>
                      <w:spacing w:after="200"/>
                      <w:rPr>
                        <w:b/>
                      </w:rPr>
                    </w:pPr>
                    <w:r w:rsidRPr="00E65720">
                      <w:rPr>
                        <w:b/>
                      </w:rPr>
                      <w:t xml:space="preserve">Ruggiero S, Et. </w:t>
                    </w:r>
                    <w:proofErr w:type="gramStart"/>
                    <w:r w:rsidRPr="00E65720">
                      <w:rPr>
                        <w:b/>
                      </w:rPr>
                      <w:t>Al ,</w:t>
                    </w:r>
                    <w:proofErr w:type="gramEnd"/>
                    <w:r w:rsidRPr="00E65720">
                      <w:rPr>
                        <w:b/>
                      </w:rPr>
                      <w:t xml:space="preserve"> American Association of Oral and Maxillofacial Surgeons Position Paper on Medication-Related Osteonecrosis of the Jaw, J Oral </w:t>
                    </w:r>
                    <w:proofErr w:type="spellStart"/>
                    <w:r w:rsidRPr="00E65720">
                      <w:rPr>
                        <w:b/>
                      </w:rPr>
                      <w:t>Maxillofac</w:t>
                    </w:r>
                    <w:proofErr w:type="spellEnd"/>
                    <w:r w:rsidRPr="00E65720">
                      <w:rPr>
                        <w:b/>
                      </w:rPr>
                      <w:t xml:space="preserve"> Surg, 2014, Volume: 72, Page Numbers: 1938-</w:t>
                    </w:r>
                    <w:r>
                      <w:rPr>
                        <w:b/>
                      </w:rPr>
                      <w:t>1</w:t>
                    </w:r>
                    <w:r w:rsidRPr="00E65720">
                      <w:rPr>
                        <w:b/>
                      </w:rPr>
                      <w:t>956</w:t>
                    </w:r>
                  </w:p>
                  <w:p w14:paraId="4D1FE854" w14:textId="77777777" w:rsidR="00362682" w:rsidRPr="00E65720" w:rsidRDefault="00362682" w:rsidP="00362682">
                    <w:pPr>
                      <w:pStyle w:val="ListParagraph"/>
                      <w:numPr>
                        <w:ilvl w:val="0"/>
                        <w:numId w:val="11"/>
                      </w:numPr>
                      <w:spacing w:after="200"/>
                      <w:rPr>
                        <w:b/>
                      </w:rPr>
                    </w:pPr>
                    <w:r w:rsidRPr="00E65720">
                      <w:rPr>
                        <w:b/>
                        <w:lang w:val="en-GB"/>
                      </w:rPr>
                      <w:t xml:space="preserve">S. </w:t>
                    </w:r>
                    <w:proofErr w:type="spellStart"/>
                    <w:r w:rsidRPr="00E65720">
                      <w:rPr>
                        <w:b/>
                        <w:lang w:val="en-GB"/>
                      </w:rPr>
                      <w:t>Aljohani</w:t>
                    </w:r>
                    <w:proofErr w:type="spellEnd"/>
                    <w:r w:rsidRPr="00E65720">
                      <w:rPr>
                        <w:b/>
                        <w:lang w:val="en-GB"/>
                      </w:rPr>
                      <w:t xml:space="preserve"> et al., </w:t>
                    </w:r>
                    <w:r w:rsidRPr="00E65720">
                      <w:rPr>
                        <w:b/>
                      </w:rPr>
                      <w:t>Osteonecrosis of the jaw in patients treated with denosumab: A multicenter case series</w:t>
                    </w:r>
                    <w:r w:rsidRPr="00E65720">
                      <w:rPr>
                        <w:b/>
                        <w:lang w:val="en-GB"/>
                      </w:rPr>
                      <w:t>, Journal of Cranio-Maxillo-Facial Surgery, 2018, Volume: 46 Page Numbers: 1515-1525</w:t>
                    </w:r>
                  </w:p>
                  <w:p w14:paraId="5C20C158" w14:textId="77777777" w:rsidR="00362682" w:rsidRDefault="00362682" w:rsidP="00362682"/>
                </w:sdtContent>
              </w:sdt>
              <w:p w14:paraId="6FA3407A" w14:textId="6FA63D35" w:rsidR="00692E4D" w:rsidRPr="002F7F42" w:rsidRDefault="00692E4D" w:rsidP="006F3FFA">
                <w:pPr>
                  <w:pStyle w:val="ListParagraph"/>
                  <w:ind w:firstLine="0"/>
                  <w:rPr>
                    <w:b/>
                  </w:rPr>
                </w:pPr>
              </w:p>
            </w:tc>
          </w:sdtContent>
        </w:sdt>
      </w:tr>
      <w:tr w:rsidR="00692E4D" w14:paraId="238D89AC" w14:textId="77777777" w:rsidTr="002E6FF2">
        <w:tc>
          <w:tcPr>
            <w:tcW w:w="8640" w:type="dxa"/>
          </w:tcPr>
          <w:p w14:paraId="05C9A362" w14:textId="77777777" w:rsidR="00692E4D" w:rsidRPr="00974240" w:rsidRDefault="00692E4D" w:rsidP="00692E4D">
            <w:pPr>
              <w:ind w:left="0" w:firstLine="0"/>
              <w:rPr>
                <w:b/>
              </w:rPr>
            </w:pPr>
            <w:r w:rsidRPr="006A2AEF">
              <w:rPr>
                <w:b/>
              </w:rPr>
              <w:t>Study Design(s):</w:t>
            </w:r>
          </w:p>
        </w:tc>
      </w:tr>
      <w:tr w:rsidR="00692E4D" w14:paraId="4D72B485" w14:textId="77777777" w:rsidTr="002E6FF2">
        <w:sdt>
          <w:sdtPr>
            <w:id w:val="196748513"/>
            <w:placeholder>
              <w:docPart w:val="205A1B0B443B417CA1D395AFAABA1971"/>
            </w:placeholder>
          </w:sdtPr>
          <w:sdtEndPr/>
          <w:sdtContent>
            <w:tc>
              <w:tcPr>
                <w:tcW w:w="8640" w:type="dxa"/>
              </w:tcPr>
              <w:p w14:paraId="4C8AC195" w14:textId="3664AC6D" w:rsidR="00FE2BCE" w:rsidRPr="00FE2BCE" w:rsidRDefault="00CE1844" w:rsidP="002F7F42">
                <w:pPr>
                  <w:pStyle w:val="ListParagraph"/>
                  <w:numPr>
                    <w:ilvl w:val="0"/>
                    <w:numId w:val="12"/>
                  </w:numPr>
                  <w:rPr>
                    <w:b/>
                  </w:rPr>
                </w:pPr>
                <w:r>
                  <w:t>Expert Opinion/Position Paper</w:t>
                </w:r>
              </w:p>
              <w:p w14:paraId="07E73F43" w14:textId="5E3B435F" w:rsidR="00692E4D" w:rsidRPr="002F7F42" w:rsidRDefault="00FE2BCE" w:rsidP="002F7F42">
                <w:pPr>
                  <w:pStyle w:val="ListParagraph"/>
                  <w:numPr>
                    <w:ilvl w:val="0"/>
                    <w:numId w:val="12"/>
                  </w:numPr>
                  <w:rPr>
                    <w:b/>
                  </w:rPr>
                </w:pPr>
                <w:r>
                  <w:t>Case Series</w:t>
                </w:r>
              </w:p>
            </w:tc>
          </w:sdtContent>
        </w:sdt>
      </w:tr>
      <w:tr w:rsidR="00692E4D" w14:paraId="20D4E738" w14:textId="77777777" w:rsidTr="002E6FF2">
        <w:tc>
          <w:tcPr>
            <w:tcW w:w="8640" w:type="dxa"/>
          </w:tcPr>
          <w:p w14:paraId="44844196" w14:textId="77777777" w:rsidR="00692E4D" w:rsidRPr="006A2AEF" w:rsidRDefault="00692E4D" w:rsidP="002972EE">
            <w:pPr>
              <w:ind w:left="0" w:firstLine="0"/>
              <w:rPr>
                <w:b/>
              </w:rPr>
            </w:pPr>
            <w:r w:rsidRPr="00974240">
              <w:rPr>
                <w:b/>
              </w:rPr>
              <w:t>Reason for Article Selection:</w:t>
            </w:r>
          </w:p>
        </w:tc>
      </w:tr>
      <w:tr w:rsidR="00692E4D" w14:paraId="637AF25F" w14:textId="77777777" w:rsidTr="002E6FF2">
        <w:sdt>
          <w:sdtPr>
            <w:id w:val="-1249580699"/>
            <w:placeholder>
              <w:docPart w:val="DDFEF09BC79B45F4875E7842D1533882"/>
            </w:placeholder>
          </w:sdtPr>
          <w:sdtEndPr/>
          <w:sdtContent>
            <w:tc>
              <w:tcPr>
                <w:tcW w:w="8640" w:type="dxa"/>
              </w:tcPr>
              <w:p w14:paraId="47271BDD" w14:textId="42E8D321" w:rsidR="00974B07" w:rsidRPr="00974B07" w:rsidRDefault="00CE1844" w:rsidP="00C27C3D">
                <w:pPr>
                  <w:pStyle w:val="ListParagraph"/>
                  <w:numPr>
                    <w:ilvl w:val="0"/>
                    <w:numId w:val="14"/>
                  </w:numPr>
                  <w:rPr>
                    <w:b/>
                  </w:rPr>
                </w:pPr>
                <w:r>
                  <w:t xml:space="preserve">This is the most recent position paper from the AAOMS </w:t>
                </w:r>
                <w:r w:rsidR="002F2475">
                  <w:t>that can be used to guide a provider, along with their own clinical judgement on how to manage MRONJ</w:t>
                </w:r>
              </w:p>
              <w:p w14:paraId="665489BC" w14:textId="62925B2A" w:rsidR="004253E1" w:rsidRPr="004253E1" w:rsidRDefault="00745736" w:rsidP="00D062B4">
                <w:pPr>
                  <w:pStyle w:val="ListParagraph"/>
                  <w:numPr>
                    <w:ilvl w:val="0"/>
                    <w:numId w:val="14"/>
                  </w:numPr>
                  <w:tabs>
                    <w:tab w:val="left" w:pos="3413"/>
                  </w:tabs>
                </w:pPr>
                <w:r w:rsidRPr="004253E1">
                  <w:t xml:space="preserve">This article is specific to denosumab, and treatment outcomes can be predicted based on this case study. </w:t>
                </w:r>
              </w:p>
              <w:p w14:paraId="22B70D03" w14:textId="21153F38" w:rsidR="00692E4D" w:rsidRPr="00D062B4" w:rsidRDefault="00692E4D" w:rsidP="00D062B4">
                <w:pPr>
                  <w:rPr>
                    <w:b/>
                  </w:rPr>
                </w:pPr>
              </w:p>
            </w:tc>
          </w:sdtContent>
        </w:sdt>
      </w:tr>
      <w:tr w:rsidR="00692E4D" w14:paraId="6994F547" w14:textId="77777777" w:rsidTr="002E6FF2">
        <w:tc>
          <w:tcPr>
            <w:tcW w:w="8640" w:type="dxa"/>
          </w:tcPr>
          <w:p w14:paraId="7EB10EE2" w14:textId="77777777" w:rsidR="00692E4D" w:rsidRPr="006A2AEF" w:rsidRDefault="00692E4D" w:rsidP="00692E4D">
            <w:pPr>
              <w:ind w:left="0" w:firstLine="0"/>
              <w:rPr>
                <w:b/>
              </w:rPr>
            </w:pPr>
            <w:r w:rsidRPr="00974240">
              <w:rPr>
                <w:b/>
              </w:rPr>
              <w:t>Article(s) Synopsis:</w:t>
            </w:r>
          </w:p>
        </w:tc>
      </w:tr>
      <w:tr w:rsidR="00692E4D" w14:paraId="19EB54B3" w14:textId="77777777" w:rsidTr="002E6FF2">
        <w:sdt>
          <w:sdtPr>
            <w:id w:val="-1273706365"/>
            <w:placeholder>
              <w:docPart w:val="CD5085E3943545F0974FA7B375EE1726"/>
            </w:placeholder>
          </w:sdtPr>
          <w:sdtEndPr/>
          <w:sdtContent>
            <w:tc>
              <w:tcPr>
                <w:tcW w:w="8640" w:type="dxa"/>
              </w:tcPr>
              <w:p w14:paraId="2CCC605F" w14:textId="77777777" w:rsidR="00F6600F" w:rsidRDefault="00F6600F" w:rsidP="00F6600F">
                <w:pPr>
                  <w:pStyle w:val="ListParagraph"/>
                  <w:numPr>
                    <w:ilvl w:val="0"/>
                    <w:numId w:val="18"/>
                  </w:numPr>
                  <w:tabs>
                    <w:tab w:val="left" w:pos="3413"/>
                  </w:tabs>
                </w:pPr>
                <w:r>
                  <w:t>The concept of a drug holiday in patients receiving oral BPs or denosumab who require tooth extractions has been an ongoing area of controversy, with sparse data to support current recommendations. The</w:t>
                </w:r>
                <w:r w:rsidRPr="00880CDA">
                  <w:t xml:space="preserve"> AAOMS Position Paper on Bisphosphonate-Related Osteonecrosis of the Jaw, revised in 2009, recommended</w:t>
                </w:r>
                <w:r>
                  <w:t xml:space="preserve"> discontinuing oral BPs for 3 months before and 3 months after invasive dental surgery—systemic conditions permitting.  However, there is currently no evidence that interrupting BP therapy alters the risk of ONJ in patients after tooth extraction. As a fully humanized antibody, denosumab blocks the receptor-mediated activation of osteoclasts and </w:t>
                </w:r>
                <w:r w:rsidRPr="00880CDA">
                  <w:t>has no binding affinity for bone matrix. Therefore, unlike BPs, the antiresorptive effects of denosumab should be mostly dissipated within 6 months of stopping the drug. However, there are no studies to support or refute the strategy of stopping denosumab therapy in the prevention or treatment of MRONJ.</w:t>
                </w:r>
                <w:r>
                  <w:t xml:space="preserve">  </w:t>
                </w:r>
              </w:p>
              <w:p w14:paraId="3799F501" w14:textId="77777777" w:rsidR="00F6600F" w:rsidRDefault="00F6600F" w:rsidP="00F6600F">
                <w:pPr>
                  <w:pStyle w:val="ListParagraph"/>
                  <w:tabs>
                    <w:tab w:val="left" w:pos="3413"/>
                  </w:tabs>
                  <w:ind w:firstLine="0"/>
                </w:pPr>
                <w:r>
                  <w:t>PATIENTS RECEIVING ANTIRESORPTIVE THERAPY FOR OSTEOPOROSIS:</w:t>
                </w:r>
              </w:p>
              <w:p w14:paraId="2858EEB2" w14:textId="77777777" w:rsidR="00F6600F" w:rsidRDefault="00F6600F" w:rsidP="00F6600F">
                <w:pPr>
                  <w:pStyle w:val="ListParagraph"/>
                  <w:numPr>
                    <w:ilvl w:val="0"/>
                    <w:numId w:val="17"/>
                  </w:numPr>
                  <w:tabs>
                    <w:tab w:val="left" w:pos="3413"/>
                  </w:tabs>
                </w:pPr>
                <w:r>
                  <w:t xml:space="preserve">For patients who have taken an oral BP for less than 4 years and have no clinical risk factors, no alteration or delay in the planned surgery is necessary. This includes </w:t>
                </w:r>
                <w:proofErr w:type="gramStart"/>
                <w:r>
                  <w:t>any and all</w:t>
                </w:r>
                <w:proofErr w:type="gramEnd"/>
                <w:r>
                  <w:t xml:space="preserve"> procedures common to oral and maxillofacial surgeons, periodontists, and other dental providers. </w:t>
                </w:r>
              </w:p>
              <w:p w14:paraId="76C9F981" w14:textId="77777777" w:rsidR="00F6600F" w:rsidRDefault="00F6600F" w:rsidP="00F6600F">
                <w:pPr>
                  <w:pStyle w:val="ListParagraph"/>
                  <w:numPr>
                    <w:ilvl w:val="0"/>
                    <w:numId w:val="17"/>
                  </w:numPr>
                  <w:tabs>
                    <w:tab w:val="left" w:pos="3413"/>
                  </w:tabs>
                </w:pPr>
                <w:r>
                  <w:t xml:space="preserve">For those patients who have taken an oral BP for </w:t>
                </w:r>
                <w:r w:rsidRPr="000E5592">
                  <w:t>less than 4 years and have taken corticosteroids or antiangiogenic medications concomitantly, the prescribing provider should be contacted to consider discontinuation of the oral BP (drug holiday) for at least 2 months before oral surgery, if systemic conditions permit. The antiresorptive should not be restarted until osseous healing has occurred.</w:t>
                </w:r>
              </w:p>
              <w:p w14:paraId="3D75B7B5" w14:textId="77777777" w:rsidR="00F6600F" w:rsidRDefault="00F6600F" w:rsidP="00F6600F">
                <w:pPr>
                  <w:pStyle w:val="ListParagraph"/>
                  <w:numPr>
                    <w:ilvl w:val="0"/>
                    <w:numId w:val="17"/>
                  </w:numPr>
                  <w:tabs>
                    <w:tab w:val="left" w:pos="3413"/>
                  </w:tabs>
                </w:pPr>
                <w:r>
                  <w:lastRenderedPageBreak/>
                  <w:t>For those patients who have taken an oral BP for longer than 4 years with or without any concomitant medical therapy, the prescribing provider should be</w:t>
                </w:r>
                <w:r w:rsidRPr="000E5592">
                  <w:t xml:space="preserve"> contacted to consider discontinuation of the antiresorptive for 2 months before oral surgery, if systemic conditions permit. The BP should not be restarted until osseous healing has occurred</w:t>
                </w:r>
              </w:p>
              <w:p w14:paraId="68157FAE" w14:textId="659D2151" w:rsidR="00F6600F" w:rsidRDefault="00F6600F" w:rsidP="00DD4558">
                <w:pPr>
                  <w:pStyle w:val="ListParagraph"/>
                  <w:numPr>
                    <w:ilvl w:val="0"/>
                    <w:numId w:val="18"/>
                  </w:numPr>
                </w:pPr>
                <w:r>
                  <w:t>The risk of DRONJ in osteoporosis patients treated with denosumab is estimated to be from 0.01% to 0.03%, and in cancer patients treated with denosumab to be from 1% to 2% (</w:t>
                </w:r>
                <w:proofErr w:type="spellStart"/>
                <w:r>
                  <w:t>Aljohani</w:t>
                </w:r>
                <w:proofErr w:type="spellEnd"/>
                <w:r>
                  <w:t xml:space="preserve"> et al., 2017). This incidence is comparable to </w:t>
                </w:r>
                <w:r w:rsidRPr="00BA419D">
                  <w:t>that of BRONJ. In a combined analysis of three phase III trials in patients with metastatic bone disease receiving antiresorptive therapies, incidence of ONJ was higher in denosumab group in comparison to the bisphosphonates group, 1.8% and 1.3% respectively</w:t>
                </w:r>
                <w:r w:rsidRPr="004C67BE">
                  <w:t xml:space="preserve"> </w:t>
                </w:r>
                <w:r>
                  <w:t>A retrospective medical chart review was carried out at two German institutions: the Department of Oral and Maxillofacial</w:t>
                </w:r>
                <w:r w:rsidRPr="004C67BE">
                  <w:t xml:space="preserve"> Surgery, Ludwig-</w:t>
                </w:r>
                <w:proofErr w:type="spellStart"/>
                <w:r w:rsidRPr="004C67BE">
                  <w:t>Maximilians</w:t>
                </w:r>
                <w:proofErr w:type="spellEnd"/>
                <w:r w:rsidRPr="004C67BE">
                  <w:t>-University, Munich, and the Department of Oral and Maxillofacial Surgery and University Medical Center Hamburg-Eppendorf, Hamburg</w:t>
                </w:r>
                <w:r>
                  <w:t xml:space="preserve">. All patients diagnosed and treated for DRONJ between July 2011 and April 2017 were identified. This study included all patients diagnosed with DRONJ based on the following criteria: 1) MRONJ diagnosis based on AAOMS criteria in patients receiving denosumab with or without history of bisphosphonates intake; and 2) a minimum period of 3 months between the last administration of bisphosphonates and DRONJ onset. The exclusion criteria </w:t>
                </w:r>
                <w:proofErr w:type="gramStart"/>
                <w:r>
                  <w:t>were:</w:t>
                </w:r>
                <w:proofErr w:type="gramEnd"/>
                <w:r>
                  <w:t xml:space="preserve"> a history of head and neck radiation, obvious metastasis to jaw bones and a history of bisphosphonates within the 3 months preceding the onset of DRONJ. A total of 63 patients were identified and fulfilled the entry criteria. Out of those 63 patients, 55% had DRONJ following a dental extraction. </w:t>
                </w:r>
                <w:r w:rsidRPr="004C67BE">
                  <w:t>The mandible was affected in 40 cases (63.5%),</w:t>
                </w:r>
                <w:r>
                  <w:t xml:space="preserve"> MRONJ </w:t>
                </w:r>
                <w:proofErr w:type="gramStart"/>
                <w:r>
                  <w:t>was located in</w:t>
                </w:r>
                <w:proofErr w:type="gramEnd"/>
                <w:r>
                  <w:t xml:space="preserve"> the molar area in 20 patients (31.7%). There were three different treatment strategies observed. Surgical treatment was performed in 66 lesions in 60 patients, of them 27 lesions underwent fluorescence-guided surgery, 38 lesions were treated with conventional surgery (57.5%), and one patient underwent extraction and curettage. A total of 53 lesions treated surgically were followed up. Surgical treatment has led to healing in 38 lesions </w:t>
                </w:r>
                <w:r w:rsidRPr="00C2477B">
                  <w:t xml:space="preserve">(71.7%), non-healing in 9 cases (17%), and partial healing in 6 sites (11.3%). A total of 22 lesions treated with fluorescence-guided bone resection were followed up. Complete mucosal healing was obtained in 77.3% of the patients treated by fluorescence-guided bone surgery (17/22) (Fig. 2feg). One lesion had partial healing (4.5%), and 4 lesions (18.2%) did not heal. In all, 31 lesions managed with conventional surgery were followed up. Complete mucosal healing was obtained in 67.7% of the patients treated with this surgical technique (21/31). Five </w:t>
                </w:r>
                <w:proofErr w:type="gramStart"/>
                <w:r w:rsidRPr="00C2477B">
                  <w:t>lesion</w:t>
                </w:r>
                <w:proofErr w:type="gramEnd"/>
                <w:r w:rsidRPr="00C2477B">
                  <w:t xml:space="preserve"> (16.1%) failed to heal, while 5 (16.1%) healed partially. The lesion treated with extraction and curettage of the bony socket healed completely</w:t>
                </w:r>
                <w:r>
                  <w:t xml:space="preserve">. A total of 34 lesions in 31 patients with previous bisphosphonates were detected. No significant difference in the demographics, clinical characteristics and </w:t>
                </w:r>
                <w:r>
                  <w:lastRenderedPageBreak/>
                  <w:t xml:space="preserve">DRONJ stage of bisphosphonate-naïve patients (n ¼ 32, 50.8%) and those who had had bisphosphonates before (n ¼ 31, 49.2%). Moreover, statistical significance between prior bisphosphonate therapy and outcomes of treatment was not observed. we did not see an association between a denosumab holiday and DRONJ healing. However, a positive effect of denosumab cessation on DRONJ can be assumed, given its short half-life. It is very important to know that pausing denosumab even for short intervals can result in remarkable rebound in bone remodeling and bone mineral density (BMD) and might lead to increased fracture risk. </w:t>
                </w:r>
              </w:p>
              <w:p w14:paraId="12928454" w14:textId="1BD029C1" w:rsidR="00692E4D" w:rsidRPr="004912CB" w:rsidRDefault="00692E4D" w:rsidP="00B4172D"/>
            </w:tc>
          </w:sdtContent>
        </w:sdt>
      </w:tr>
      <w:tr w:rsidR="00692E4D" w14:paraId="269B4E73" w14:textId="77777777" w:rsidTr="002E6FF2">
        <w:tc>
          <w:tcPr>
            <w:tcW w:w="8640" w:type="dxa"/>
          </w:tcPr>
          <w:p w14:paraId="741D03C2"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1826142D"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07E0CF01" w14:textId="456CB941" w:rsidR="004816C3" w:rsidRPr="009A3ACA" w:rsidRDefault="00362682" w:rsidP="004816C3">
            <w:pPr>
              <w:ind w:left="0" w:firstLine="0"/>
            </w:pPr>
            <w:sdt>
              <w:sdtPr>
                <w:rPr>
                  <w:b/>
                </w:rPr>
                <w:id w:val="1778597194"/>
                <w14:checkbox>
                  <w14:checked w14:val="0"/>
                  <w14:checkedState w14:val="2612" w14:font="MS Gothic"/>
                  <w14:uncheckedState w14:val="2610" w14:font="MS Gothic"/>
                </w14:checkbox>
              </w:sdtPr>
              <w:sdtEndPr/>
              <w:sdtContent>
                <w:r w:rsidR="00F6600F">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567205DF" w14:textId="77777777" w:rsidR="004816C3" w:rsidRPr="009A3ACA" w:rsidRDefault="00362682"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6F5811CD" w14:textId="77777777" w:rsidR="004816C3" w:rsidRPr="009A3ACA" w:rsidRDefault="00362682"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20AFE4DA" w14:textId="77777777" w:rsidR="004816C3" w:rsidRPr="00E2331B" w:rsidRDefault="00362682"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16EB50F2" w14:textId="77777777" w:rsidR="004816C3" w:rsidRPr="00E2331B" w:rsidRDefault="00362682"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5C8D0DE8" w14:textId="77777777" w:rsidR="004816C3" w:rsidRPr="00E2331B" w:rsidRDefault="00362682"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2A5B6DC0" w14:textId="77777777" w:rsidR="004816C3" w:rsidRPr="00944D52" w:rsidRDefault="00362682"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108E2AE1" w14:textId="5FEADF16" w:rsidR="004816C3" w:rsidRPr="00944D52" w:rsidRDefault="00362682" w:rsidP="004816C3">
            <w:pPr>
              <w:ind w:left="0" w:firstLine="0"/>
            </w:pPr>
            <w:sdt>
              <w:sdtPr>
                <w:rPr>
                  <w:b/>
                </w:rPr>
                <w:id w:val="90821527"/>
                <w14:checkbox>
                  <w14:checked w14:val="1"/>
                  <w14:checkedState w14:val="2612" w14:font="MS Gothic"/>
                  <w14:uncheckedState w14:val="2610" w14:font="MS Gothic"/>
                </w14:checkbox>
              </w:sdtPr>
              <w:sdtEndPr/>
              <w:sdtContent>
                <w:r w:rsidR="00506C31">
                  <w:rPr>
                    <w:rFonts w:ascii="MS Gothic" w:eastAsia="MS Gothic" w:hAnsi="MS Gothic" w:hint="eastAsia"/>
                    <w:b/>
                  </w:rPr>
                  <w:t>☒</w:t>
                </w:r>
              </w:sdtContent>
            </w:sdt>
            <w:r w:rsidR="004816C3">
              <w:rPr>
                <w:b/>
              </w:rPr>
              <w:t xml:space="preserve"> 5</w:t>
            </w:r>
            <w:r w:rsidR="004816C3">
              <w:t xml:space="preserve"> – Case Series, Case Reports</w:t>
            </w:r>
          </w:p>
          <w:p w14:paraId="390FC232" w14:textId="156EA243" w:rsidR="004816C3" w:rsidRDefault="00362682" w:rsidP="004816C3">
            <w:pPr>
              <w:ind w:left="0" w:firstLine="0"/>
            </w:pPr>
            <w:sdt>
              <w:sdtPr>
                <w:rPr>
                  <w:b/>
                </w:rPr>
                <w:id w:val="62923687"/>
                <w14:checkbox>
                  <w14:checked w14:val="1"/>
                  <w14:checkedState w14:val="2612" w14:font="MS Gothic"/>
                  <w14:uncheckedState w14:val="2610" w14:font="MS Gothic"/>
                </w14:checkbox>
              </w:sdtPr>
              <w:sdtEndPr/>
              <w:sdtContent>
                <w:r w:rsidR="00EF2E52">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2C99C471" w14:textId="77777777" w:rsidR="004816C3" w:rsidRDefault="00362682"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211F972" w14:textId="77777777" w:rsidR="00692E4D" w:rsidRPr="004816C3" w:rsidRDefault="00362682"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2F4DE51E" w14:textId="77777777" w:rsidTr="002E6FF2">
        <w:tc>
          <w:tcPr>
            <w:tcW w:w="8640" w:type="dxa"/>
          </w:tcPr>
          <w:p w14:paraId="2F1D68EC" w14:textId="77777777" w:rsidR="00692E4D" w:rsidRPr="00974240" w:rsidRDefault="00692E4D" w:rsidP="00692E4D">
            <w:pPr>
              <w:ind w:left="0" w:firstLine="0"/>
              <w:rPr>
                <w:b/>
              </w:rPr>
            </w:pPr>
            <w:r w:rsidRPr="00974240">
              <w:rPr>
                <w:b/>
              </w:rPr>
              <w:t>Strength of Recommendation Taxonomy (SORT) For Guidelines and Systematic Reviews</w:t>
            </w:r>
          </w:p>
          <w:p w14:paraId="164EE2BB" w14:textId="77777777" w:rsidR="00692E4D" w:rsidRDefault="00692E4D" w:rsidP="00692E4D">
            <w:pPr>
              <w:ind w:left="0" w:firstLine="0"/>
              <w:rPr>
                <w:b/>
              </w:rPr>
            </w:pPr>
            <w:r>
              <w:t xml:space="preserve">See article </w:t>
            </w:r>
            <w:r w:rsidRPr="00355808">
              <w:rPr>
                <w:b/>
              </w:rPr>
              <w:t>J Evid Base Dent Pract 2007;147-150</w:t>
            </w:r>
          </w:p>
          <w:p w14:paraId="6B5CCDDD" w14:textId="77777777" w:rsidR="00692E4D" w:rsidRDefault="00362682"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62527E62" w14:textId="1BAF7F73" w:rsidR="00692E4D" w:rsidRDefault="00362682"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377B3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11C77369" w14:textId="79A143DF" w:rsidR="00692E4D" w:rsidRDefault="00362682" w:rsidP="00692E4D">
            <w:pPr>
              <w:ind w:left="0" w:firstLine="0"/>
            </w:pPr>
            <w:sdt>
              <w:sdtPr>
                <w:rPr>
                  <w:b/>
                </w:rPr>
                <w:id w:val="816303343"/>
                <w14:checkbox>
                  <w14:checked w14:val="1"/>
                  <w14:checkedState w14:val="2612" w14:font="MS Gothic"/>
                  <w14:uncheckedState w14:val="2610" w14:font="MS Gothic"/>
                </w14:checkbox>
              </w:sdtPr>
              <w:sdtEndPr/>
              <w:sdtContent>
                <w:r w:rsidR="00377B3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2BA335A6" w14:textId="77777777" w:rsidR="00692E4D" w:rsidRDefault="00692E4D" w:rsidP="00692E4D">
            <w:pPr>
              <w:ind w:left="0" w:firstLine="0"/>
              <w:rPr>
                <w:b/>
              </w:rPr>
            </w:pPr>
          </w:p>
        </w:tc>
      </w:tr>
      <w:tr w:rsidR="00692E4D" w14:paraId="01367213" w14:textId="77777777" w:rsidTr="002E6FF2">
        <w:tc>
          <w:tcPr>
            <w:tcW w:w="8640" w:type="dxa"/>
          </w:tcPr>
          <w:p w14:paraId="5A5B7222"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7172E46B" w14:textId="77777777" w:rsidTr="002E6FF2">
        <w:sdt>
          <w:sdtPr>
            <w:id w:val="-1330988089"/>
          </w:sdtPr>
          <w:sdtEndPr/>
          <w:sdtContent>
            <w:tc>
              <w:tcPr>
                <w:tcW w:w="8640" w:type="dxa"/>
              </w:tcPr>
              <w:sdt>
                <w:sdtPr>
                  <w:id w:val="997840120"/>
                </w:sdtPr>
                <w:sdtEndPr/>
                <w:sdtContent>
                  <w:p w14:paraId="5282E51A" w14:textId="77777777" w:rsidR="00A64CF0" w:rsidRDefault="00A64CF0" w:rsidP="00A64CF0">
                    <w:pPr>
                      <w:tabs>
                        <w:tab w:val="left" w:pos="3413"/>
                      </w:tabs>
                    </w:pPr>
                  </w:p>
                  <w:p w14:paraId="029BFC34" w14:textId="77777777" w:rsidR="00A64CF0" w:rsidRDefault="00A64CF0" w:rsidP="00A64CF0">
                    <w:pPr>
                      <w:pStyle w:val="ListParagraph"/>
                      <w:numPr>
                        <w:ilvl w:val="0"/>
                        <w:numId w:val="13"/>
                      </w:numPr>
                      <w:tabs>
                        <w:tab w:val="left" w:pos="3413"/>
                      </w:tabs>
                    </w:pPr>
                    <w:r>
                      <w:t xml:space="preserve">This patient receives corticosteroid injections in the hip and shoulder 2-3x a year, in addition to having been on an oral bisphosphonate (Fosamax). Because of this, the prescribing provider should be contacted to consider discontinuation of the antiresorptive for at least 2 months before oral surgery and not restarted until osseous healing has occurred. </w:t>
                    </w:r>
                  </w:p>
                  <w:p w14:paraId="3526FDA1" w14:textId="77777777" w:rsidR="00A64CF0" w:rsidRPr="004253E1" w:rsidRDefault="00A64CF0" w:rsidP="00A64CF0">
                    <w:pPr>
                      <w:pStyle w:val="ListParagraph"/>
                      <w:numPr>
                        <w:ilvl w:val="0"/>
                        <w:numId w:val="13"/>
                      </w:numPr>
                    </w:pPr>
                    <w:r w:rsidRPr="004A57E6">
                      <w:t xml:space="preserve">Within the limitations of this retrospective study, characteristics of DRONJ were investigated. DRONJ tends to develop after administration of 16.4 doses. The previous </w:t>
                    </w:r>
                    <w:r w:rsidRPr="004A57E6">
                      <w:lastRenderedPageBreak/>
                      <w:t>use of bisphosphonates does not appear to affect DRONJ severity or treatment response. Based on the findings, we recommend surgical treatment, particularly fluorescence-guided surgery, to allow complete removal of necrotic bone and to prevent ONJ progression.</w:t>
                    </w:r>
                  </w:p>
                </w:sdtContent>
              </w:sdt>
              <w:p w14:paraId="20C2EFB6" w14:textId="33DCDFCF" w:rsidR="002972EE" w:rsidRDefault="002972EE" w:rsidP="00A64CF0">
                <w:pPr>
                  <w:ind w:left="360" w:firstLine="0"/>
                </w:pPr>
              </w:p>
            </w:tc>
          </w:sdtContent>
        </w:sdt>
      </w:tr>
    </w:tbl>
    <w:p w14:paraId="5FB1D744" w14:textId="77777777" w:rsidR="004112F5" w:rsidRDefault="004112F5" w:rsidP="00692E4D">
      <w:pPr>
        <w:pStyle w:val="ColorfulList-Accent11"/>
        <w:ind w:left="0" w:firstLine="0"/>
        <w:rPr>
          <w:b/>
        </w:rPr>
      </w:pPr>
    </w:p>
    <w:p w14:paraId="449C2DA2" w14:textId="77777777" w:rsidR="003B2868" w:rsidRDefault="003B2868" w:rsidP="00692E4D">
      <w:pPr>
        <w:pStyle w:val="ColorfulList-Accent11"/>
        <w:ind w:left="0" w:firstLine="0"/>
        <w:rPr>
          <w:b/>
        </w:rPr>
      </w:pPr>
    </w:p>
    <w:p w14:paraId="368F8934" w14:textId="77777777" w:rsidR="003B2868" w:rsidRPr="006A2AEF" w:rsidRDefault="003B2868" w:rsidP="00692E4D">
      <w:pPr>
        <w:pStyle w:val="ColorfulList-Accent11"/>
        <w:ind w:left="0" w:firstLine="0"/>
        <w:rPr>
          <w:b/>
        </w:rPr>
      </w:pPr>
    </w:p>
    <w:p w14:paraId="3B8F5234" w14:textId="77777777" w:rsidR="00746A56" w:rsidRDefault="004112F5" w:rsidP="00692E4D">
      <w:pPr>
        <w:ind w:left="0" w:firstLine="0"/>
        <w:rPr>
          <w:b/>
        </w:rPr>
      </w:pPr>
      <w:r>
        <w:tab/>
      </w:r>
      <w:r>
        <w:tab/>
      </w:r>
    </w:p>
    <w:p w14:paraId="04516538" w14:textId="77777777" w:rsidR="003B2868" w:rsidRDefault="003B2868" w:rsidP="00692E4D">
      <w:pPr>
        <w:ind w:left="0" w:firstLine="0"/>
        <w:rPr>
          <w:b/>
        </w:rPr>
      </w:pPr>
    </w:p>
    <w:p w14:paraId="41A4BE08" w14:textId="77777777" w:rsidR="006A2AEF" w:rsidRDefault="006A2AEF" w:rsidP="00692E4D">
      <w:pPr>
        <w:pStyle w:val="ColorfulList-Accent11"/>
        <w:ind w:left="0" w:firstLine="0"/>
      </w:pPr>
    </w:p>
    <w:p w14:paraId="681B0495" w14:textId="77777777" w:rsidR="003B2868" w:rsidRPr="00746A56" w:rsidRDefault="003B2868" w:rsidP="00692E4D">
      <w:pPr>
        <w:pStyle w:val="ColorfulList-Accent11"/>
        <w:ind w:left="0" w:firstLine="0"/>
      </w:pPr>
    </w:p>
    <w:p w14:paraId="6F8BB380" w14:textId="77777777" w:rsidR="004112F5" w:rsidRDefault="004112F5" w:rsidP="00692E4D">
      <w:pPr>
        <w:ind w:left="0" w:firstLine="0"/>
      </w:pPr>
    </w:p>
    <w:p w14:paraId="5D721A80" w14:textId="77777777" w:rsidR="004112F5" w:rsidRPr="00355808" w:rsidRDefault="004112F5" w:rsidP="00692E4D">
      <w:pPr>
        <w:ind w:left="0" w:firstLine="0"/>
      </w:pPr>
      <w:r>
        <w:t xml:space="preserve">    </w:t>
      </w:r>
    </w:p>
    <w:p w14:paraId="7D6F9B01"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04539" w14:textId="77777777" w:rsidR="00745736" w:rsidRDefault="00745736" w:rsidP="00692E4D">
      <w:pPr>
        <w:spacing w:after="0" w:line="240" w:lineRule="auto"/>
      </w:pPr>
      <w:r>
        <w:separator/>
      </w:r>
    </w:p>
  </w:endnote>
  <w:endnote w:type="continuationSeparator" w:id="0">
    <w:p w14:paraId="1D5C74D9" w14:textId="77777777" w:rsidR="00745736" w:rsidRDefault="00745736"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BE79"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C2D2" w14:textId="77777777" w:rsidR="00745736" w:rsidRDefault="00745736" w:rsidP="00692E4D">
      <w:pPr>
        <w:spacing w:after="0" w:line="240" w:lineRule="auto"/>
      </w:pPr>
      <w:r>
        <w:separator/>
      </w:r>
    </w:p>
  </w:footnote>
  <w:footnote w:type="continuationSeparator" w:id="0">
    <w:p w14:paraId="6094D83F" w14:textId="77777777" w:rsidR="00745736" w:rsidRDefault="00745736"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BBC2D" w14:textId="77777777" w:rsidR="00692E4D" w:rsidRPr="00292BEF" w:rsidRDefault="00692E4D" w:rsidP="00692E4D">
    <w:pPr>
      <w:pStyle w:val="Header"/>
      <w:jc w:val="right"/>
      <w:rPr>
        <w:sz w:val="28"/>
      </w:rPr>
    </w:pPr>
    <w:r w:rsidRPr="00292BEF">
      <w:rPr>
        <w:sz w:val="28"/>
      </w:rPr>
      <w:t>MUSoD Rounds</w:t>
    </w:r>
  </w:p>
  <w:p w14:paraId="6C9EBFFE"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21387593"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E74"/>
    <w:multiLevelType w:val="hybridMultilevel"/>
    <w:tmpl w:val="FF7E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35F6"/>
    <w:multiLevelType w:val="hybridMultilevel"/>
    <w:tmpl w:val="B8E0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70BAE"/>
    <w:multiLevelType w:val="hybridMultilevel"/>
    <w:tmpl w:val="79006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7C0BD1"/>
    <w:multiLevelType w:val="hybridMultilevel"/>
    <w:tmpl w:val="0956A7B8"/>
    <w:lvl w:ilvl="0" w:tplc="E2DA7D52">
      <w:start w:val="1"/>
      <w:numFmt w:val="bullet"/>
      <w:lvlText w:val=""/>
      <w:lvlJc w:val="left"/>
      <w:pPr>
        <w:tabs>
          <w:tab w:val="num" w:pos="720"/>
        </w:tabs>
        <w:ind w:left="720" w:hanging="360"/>
      </w:pPr>
      <w:rPr>
        <w:rFonts w:ascii="Wingdings 2" w:hAnsi="Wingdings 2" w:hint="default"/>
      </w:rPr>
    </w:lvl>
    <w:lvl w:ilvl="1" w:tplc="1F3C9F32" w:tentative="1">
      <w:start w:val="1"/>
      <w:numFmt w:val="bullet"/>
      <w:lvlText w:val=""/>
      <w:lvlJc w:val="left"/>
      <w:pPr>
        <w:tabs>
          <w:tab w:val="num" w:pos="1440"/>
        </w:tabs>
        <w:ind w:left="1440" w:hanging="360"/>
      </w:pPr>
      <w:rPr>
        <w:rFonts w:ascii="Wingdings 2" w:hAnsi="Wingdings 2" w:hint="default"/>
      </w:rPr>
    </w:lvl>
    <w:lvl w:ilvl="2" w:tplc="ABA69EEE" w:tentative="1">
      <w:start w:val="1"/>
      <w:numFmt w:val="bullet"/>
      <w:lvlText w:val=""/>
      <w:lvlJc w:val="left"/>
      <w:pPr>
        <w:tabs>
          <w:tab w:val="num" w:pos="2160"/>
        </w:tabs>
        <w:ind w:left="2160" w:hanging="360"/>
      </w:pPr>
      <w:rPr>
        <w:rFonts w:ascii="Wingdings 2" w:hAnsi="Wingdings 2" w:hint="default"/>
      </w:rPr>
    </w:lvl>
    <w:lvl w:ilvl="3" w:tplc="A1E2D760" w:tentative="1">
      <w:start w:val="1"/>
      <w:numFmt w:val="bullet"/>
      <w:lvlText w:val=""/>
      <w:lvlJc w:val="left"/>
      <w:pPr>
        <w:tabs>
          <w:tab w:val="num" w:pos="2880"/>
        </w:tabs>
        <w:ind w:left="2880" w:hanging="360"/>
      </w:pPr>
      <w:rPr>
        <w:rFonts w:ascii="Wingdings 2" w:hAnsi="Wingdings 2" w:hint="default"/>
      </w:rPr>
    </w:lvl>
    <w:lvl w:ilvl="4" w:tplc="1D769268" w:tentative="1">
      <w:start w:val="1"/>
      <w:numFmt w:val="bullet"/>
      <w:lvlText w:val=""/>
      <w:lvlJc w:val="left"/>
      <w:pPr>
        <w:tabs>
          <w:tab w:val="num" w:pos="3600"/>
        </w:tabs>
        <w:ind w:left="3600" w:hanging="360"/>
      </w:pPr>
      <w:rPr>
        <w:rFonts w:ascii="Wingdings 2" w:hAnsi="Wingdings 2" w:hint="default"/>
      </w:rPr>
    </w:lvl>
    <w:lvl w:ilvl="5" w:tplc="081C5EE8" w:tentative="1">
      <w:start w:val="1"/>
      <w:numFmt w:val="bullet"/>
      <w:lvlText w:val=""/>
      <w:lvlJc w:val="left"/>
      <w:pPr>
        <w:tabs>
          <w:tab w:val="num" w:pos="4320"/>
        </w:tabs>
        <w:ind w:left="4320" w:hanging="360"/>
      </w:pPr>
      <w:rPr>
        <w:rFonts w:ascii="Wingdings 2" w:hAnsi="Wingdings 2" w:hint="default"/>
      </w:rPr>
    </w:lvl>
    <w:lvl w:ilvl="6" w:tplc="7F1A9A0E" w:tentative="1">
      <w:start w:val="1"/>
      <w:numFmt w:val="bullet"/>
      <w:lvlText w:val=""/>
      <w:lvlJc w:val="left"/>
      <w:pPr>
        <w:tabs>
          <w:tab w:val="num" w:pos="5040"/>
        </w:tabs>
        <w:ind w:left="5040" w:hanging="360"/>
      </w:pPr>
      <w:rPr>
        <w:rFonts w:ascii="Wingdings 2" w:hAnsi="Wingdings 2" w:hint="default"/>
      </w:rPr>
    </w:lvl>
    <w:lvl w:ilvl="7" w:tplc="77D0ED46" w:tentative="1">
      <w:start w:val="1"/>
      <w:numFmt w:val="bullet"/>
      <w:lvlText w:val=""/>
      <w:lvlJc w:val="left"/>
      <w:pPr>
        <w:tabs>
          <w:tab w:val="num" w:pos="5760"/>
        </w:tabs>
        <w:ind w:left="5760" w:hanging="360"/>
      </w:pPr>
      <w:rPr>
        <w:rFonts w:ascii="Wingdings 2" w:hAnsi="Wingdings 2" w:hint="default"/>
      </w:rPr>
    </w:lvl>
    <w:lvl w:ilvl="8" w:tplc="40C42FB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739085F"/>
    <w:multiLevelType w:val="hybridMultilevel"/>
    <w:tmpl w:val="3EF4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02050"/>
    <w:multiLevelType w:val="hybridMultilevel"/>
    <w:tmpl w:val="BD2C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90861"/>
    <w:multiLevelType w:val="hybridMultilevel"/>
    <w:tmpl w:val="30F6CD40"/>
    <w:lvl w:ilvl="0" w:tplc="9E76BAA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7349D4"/>
    <w:multiLevelType w:val="hybridMultilevel"/>
    <w:tmpl w:val="F684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A0E8C"/>
    <w:multiLevelType w:val="hybridMultilevel"/>
    <w:tmpl w:val="B450D2E4"/>
    <w:lvl w:ilvl="0" w:tplc="EE107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3"/>
  </w:num>
  <w:num w:numId="5">
    <w:abstractNumId w:val="7"/>
  </w:num>
  <w:num w:numId="6">
    <w:abstractNumId w:val="8"/>
  </w:num>
  <w:num w:numId="7">
    <w:abstractNumId w:val="14"/>
  </w:num>
  <w:num w:numId="8">
    <w:abstractNumId w:val="9"/>
  </w:num>
  <w:num w:numId="9">
    <w:abstractNumId w:val="6"/>
  </w:num>
  <w:num w:numId="10">
    <w:abstractNumId w:val="11"/>
  </w:num>
  <w:num w:numId="11">
    <w:abstractNumId w:val="0"/>
  </w:num>
  <w:num w:numId="12">
    <w:abstractNumId w:val="12"/>
  </w:num>
  <w:num w:numId="13">
    <w:abstractNumId w:val="17"/>
  </w:num>
  <w:num w:numId="14">
    <w:abstractNumId w:val="2"/>
  </w:num>
  <w:num w:numId="15">
    <w:abstractNumId w:val="10"/>
  </w:num>
  <w:num w:numId="16">
    <w:abstractNumId w:val="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F733A"/>
    <w:rsid w:val="00174B1A"/>
    <w:rsid w:val="00192604"/>
    <w:rsid w:val="001C073A"/>
    <w:rsid w:val="002504D6"/>
    <w:rsid w:val="002967BF"/>
    <w:rsid w:val="002972EE"/>
    <w:rsid w:val="002E6FF2"/>
    <w:rsid w:val="002F2475"/>
    <w:rsid w:val="002F7F42"/>
    <w:rsid w:val="00362682"/>
    <w:rsid w:val="00377B3E"/>
    <w:rsid w:val="003B2868"/>
    <w:rsid w:val="004112F5"/>
    <w:rsid w:val="004816C3"/>
    <w:rsid w:val="004912CB"/>
    <w:rsid w:val="004A57E6"/>
    <w:rsid w:val="004B1110"/>
    <w:rsid w:val="004C1A24"/>
    <w:rsid w:val="00503E88"/>
    <w:rsid w:val="00506C31"/>
    <w:rsid w:val="00534351"/>
    <w:rsid w:val="0055748F"/>
    <w:rsid w:val="005B0029"/>
    <w:rsid w:val="005F06DC"/>
    <w:rsid w:val="005F5AA1"/>
    <w:rsid w:val="00625E65"/>
    <w:rsid w:val="00657CF8"/>
    <w:rsid w:val="00672CAF"/>
    <w:rsid w:val="00692E4D"/>
    <w:rsid w:val="006A2AEF"/>
    <w:rsid w:val="006A5E4B"/>
    <w:rsid w:val="006F3FFA"/>
    <w:rsid w:val="007278F8"/>
    <w:rsid w:val="00745736"/>
    <w:rsid w:val="00746A56"/>
    <w:rsid w:val="00756D18"/>
    <w:rsid w:val="00782CFF"/>
    <w:rsid w:val="007D0EE6"/>
    <w:rsid w:val="0084217E"/>
    <w:rsid w:val="008A3451"/>
    <w:rsid w:val="00974B07"/>
    <w:rsid w:val="00A228DA"/>
    <w:rsid w:val="00A5376E"/>
    <w:rsid w:val="00A64CF0"/>
    <w:rsid w:val="00B4172D"/>
    <w:rsid w:val="00B42637"/>
    <w:rsid w:val="00BD77F4"/>
    <w:rsid w:val="00C27C3D"/>
    <w:rsid w:val="00CD0DEA"/>
    <w:rsid w:val="00CE1844"/>
    <w:rsid w:val="00D062B4"/>
    <w:rsid w:val="00DD26F4"/>
    <w:rsid w:val="00DD4558"/>
    <w:rsid w:val="00E4293E"/>
    <w:rsid w:val="00EA1517"/>
    <w:rsid w:val="00EA6030"/>
    <w:rsid w:val="00EB7658"/>
    <w:rsid w:val="00EE6719"/>
    <w:rsid w:val="00EF2E52"/>
    <w:rsid w:val="00F32487"/>
    <w:rsid w:val="00F6600F"/>
    <w:rsid w:val="00F76708"/>
    <w:rsid w:val="00FC6818"/>
    <w:rsid w:val="00FD313F"/>
    <w:rsid w:val="00FE2BCE"/>
    <w:rsid w:val="00FF29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6B664"/>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435736">
      <w:bodyDiv w:val="1"/>
      <w:marLeft w:val="0"/>
      <w:marRight w:val="0"/>
      <w:marTop w:val="0"/>
      <w:marBottom w:val="0"/>
      <w:divBdr>
        <w:top w:val="none" w:sz="0" w:space="0" w:color="auto"/>
        <w:left w:val="none" w:sz="0" w:space="0" w:color="auto"/>
        <w:bottom w:val="none" w:sz="0" w:space="0" w:color="auto"/>
        <w:right w:val="none" w:sz="0" w:space="0" w:color="auto"/>
      </w:divBdr>
      <w:divsChild>
        <w:div w:id="2079401422">
          <w:marLeft w:val="69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D23F47C4AF42476C901DF28CAA65AE9B"/>
        <w:category>
          <w:name w:val="General"/>
          <w:gallery w:val="placeholder"/>
        </w:category>
        <w:types>
          <w:type w:val="bbPlcHdr"/>
        </w:types>
        <w:behaviors>
          <w:behavior w:val="content"/>
        </w:behaviors>
        <w:guid w:val="{1F0776F4-688C-4BA2-A97C-52E078E1E374}"/>
      </w:docPartPr>
      <w:docPartBody>
        <w:p w:rsidR="00000000" w:rsidRDefault="00FC4AC5" w:rsidP="00FC4AC5">
          <w:pPr>
            <w:pStyle w:val="D23F47C4AF42476C901DF28CAA65AE9B"/>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FA0FC5"/>
    <w:rsid w:val="00FC4AC5"/>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C4AC5"/>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D23F47C4AF42476C901DF28CAA65AE9B">
    <w:name w:val="D23F47C4AF42476C901DF28CAA65AE9B"/>
    <w:rsid w:val="00FC4A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Negron Garcia, Camila</cp:lastModifiedBy>
  <cp:revision>44</cp:revision>
  <dcterms:created xsi:type="dcterms:W3CDTF">2020-10-26T23:48:00Z</dcterms:created>
  <dcterms:modified xsi:type="dcterms:W3CDTF">2020-11-03T18:57:00Z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