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54D36978" w14:textId="77777777" w:rsidTr="00292BEF">
        <w:tc>
          <w:tcPr>
            <w:tcW w:w="9576" w:type="dxa"/>
          </w:tcPr>
          <w:p w14:paraId="60FFEA7B" w14:textId="77777777" w:rsidR="009E5F3C" w:rsidRPr="00CA07DB" w:rsidRDefault="009E5F3C" w:rsidP="009E5F3C">
            <w:pPr>
              <w:rPr>
                <w:b/>
              </w:rPr>
            </w:pPr>
            <w:r w:rsidRPr="00CA07DB">
              <w:rPr>
                <w:b/>
              </w:rPr>
              <w:t>Name:</w:t>
            </w:r>
          </w:p>
        </w:tc>
      </w:tr>
      <w:tr w:rsidR="009E5F3C" w14:paraId="0D51D2EF" w14:textId="77777777" w:rsidTr="00292BEF">
        <w:sdt>
          <w:sdtPr>
            <w:id w:val="-1616523060"/>
            <w:placeholder>
              <w:docPart w:val="02972703BAF4453BA63C937D54134515"/>
            </w:placeholder>
          </w:sdtPr>
          <w:sdtEndPr/>
          <w:sdtContent>
            <w:tc>
              <w:tcPr>
                <w:tcW w:w="9576" w:type="dxa"/>
              </w:tcPr>
              <w:p w14:paraId="4D81F2F0" w14:textId="77777777" w:rsidR="009E5F3C" w:rsidRDefault="00307F00" w:rsidP="00307F00">
                <w:r>
                  <w:t>Teagan Pyszka</w:t>
                </w:r>
              </w:p>
            </w:tc>
          </w:sdtContent>
        </w:sdt>
      </w:tr>
      <w:tr w:rsidR="009E5F3C" w14:paraId="390B837E" w14:textId="77777777" w:rsidTr="00292BEF">
        <w:tc>
          <w:tcPr>
            <w:tcW w:w="9576" w:type="dxa"/>
          </w:tcPr>
          <w:p w14:paraId="1715C3F6" w14:textId="77777777" w:rsidR="009E5F3C" w:rsidRPr="00CA07DB" w:rsidRDefault="009E5F3C" w:rsidP="00292BEF">
            <w:pPr>
              <w:rPr>
                <w:b/>
              </w:rPr>
            </w:pPr>
            <w:r>
              <w:rPr>
                <w:b/>
              </w:rPr>
              <w:t>Group</w:t>
            </w:r>
            <w:r w:rsidRPr="00CA07DB">
              <w:rPr>
                <w:b/>
              </w:rPr>
              <w:t>:</w:t>
            </w:r>
          </w:p>
        </w:tc>
      </w:tr>
      <w:tr w:rsidR="009E5F3C" w14:paraId="311A2F20" w14:textId="77777777" w:rsidTr="00292BEF">
        <w:sdt>
          <w:sdtPr>
            <w:id w:val="-1249565243"/>
            <w:placeholder>
              <w:docPart w:val="6CE4961570204F4694FFE78BC98DD887"/>
            </w:placeholder>
          </w:sdtPr>
          <w:sdtEndPr/>
          <w:sdtContent>
            <w:tc>
              <w:tcPr>
                <w:tcW w:w="9576" w:type="dxa"/>
              </w:tcPr>
              <w:p w14:paraId="09C04B6C" w14:textId="77777777" w:rsidR="009E5F3C" w:rsidRDefault="00307F00" w:rsidP="00307F00">
                <w:r>
                  <w:t>10A-2</w:t>
                </w:r>
              </w:p>
            </w:tc>
          </w:sdtContent>
        </w:sdt>
      </w:tr>
      <w:tr w:rsidR="009E5F3C" w14:paraId="7E426D33" w14:textId="77777777" w:rsidTr="00292BEF">
        <w:tc>
          <w:tcPr>
            <w:tcW w:w="9576" w:type="dxa"/>
          </w:tcPr>
          <w:p w14:paraId="548E9DA4" w14:textId="77777777" w:rsidR="009E5F3C" w:rsidRPr="00CA07DB" w:rsidRDefault="009E5F3C" w:rsidP="009E5F3C">
            <w:pPr>
              <w:rPr>
                <w:b/>
              </w:rPr>
            </w:pPr>
            <w:r>
              <w:rPr>
                <w:b/>
              </w:rPr>
              <w:t>Basic Science Question</w:t>
            </w:r>
            <w:r w:rsidRPr="00CA07DB">
              <w:rPr>
                <w:b/>
              </w:rPr>
              <w:t>:</w:t>
            </w:r>
          </w:p>
        </w:tc>
      </w:tr>
      <w:tr w:rsidR="009E5F3C" w14:paraId="42867A9F" w14:textId="77777777" w:rsidTr="00292BEF">
        <w:sdt>
          <w:sdtPr>
            <w:id w:val="1729411323"/>
            <w:placeholder>
              <w:docPart w:val="C2815E99CDA84C31B81ABC34C42C3183"/>
            </w:placeholder>
          </w:sdtPr>
          <w:sdtEndPr/>
          <w:sdtContent>
            <w:tc>
              <w:tcPr>
                <w:tcW w:w="9576" w:type="dxa"/>
              </w:tcPr>
              <w:p w14:paraId="55642873" w14:textId="77777777" w:rsidR="00C971E5" w:rsidRPr="00C971E5" w:rsidRDefault="00C971E5" w:rsidP="00C971E5">
                <w:pPr>
                  <w:widowControl/>
                  <w:rPr>
                    <w:snapToGrid/>
                    <w:szCs w:val="24"/>
                  </w:rPr>
                </w:pPr>
                <w:r>
                  <w:t xml:space="preserve">What oral hygiene </w:t>
                </w:r>
                <w:proofErr w:type="spellStart"/>
                <w:r>
                  <w:t>adjucts</w:t>
                </w:r>
                <w:proofErr w:type="spellEnd"/>
                <w:r>
                  <w:t xml:space="preserve"> and instruction can be given to visually impaired patients to </w:t>
                </w:r>
                <w:r w:rsidR="0088610C">
                  <w:t>aid in improving</w:t>
                </w:r>
                <w:r>
                  <w:t xml:space="preserve"> oral health?</w:t>
                </w:r>
              </w:p>
              <w:p w14:paraId="7E70A568" w14:textId="77777777" w:rsidR="009E5F3C" w:rsidRDefault="009E5F3C" w:rsidP="00AD0B2B"/>
            </w:tc>
          </w:sdtContent>
        </w:sdt>
      </w:tr>
      <w:tr w:rsidR="009E5F3C" w14:paraId="71C41483" w14:textId="77777777" w:rsidTr="00292BEF">
        <w:tc>
          <w:tcPr>
            <w:tcW w:w="9576" w:type="dxa"/>
          </w:tcPr>
          <w:p w14:paraId="3C1AF8B5" w14:textId="77777777" w:rsidR="009E5F3C" w:rsidRPr="00CA07DB" w:rsidRDefault="009E5F3C" w:rsidP="00292BEF">
            <w:pPr>
              <w:rPr>
                <w:b/>
              </w:rPr>
            </w:pPr>
            <w:r>
              <w:rPr>
                <w:b/>
              </w:rPr>
              <w:t>Report</w:t>
            </w:r>
            <w:r w:rsidRPr="00CA07DB">
              <w:rPr>
                <w:b/>
              </w:rPr>
              <w:t>:</w:t>
            </w:r>
          </w:p>
        </w:tc>
      </w:tr>
      <w:tr w:rsidR="009E5F3C" w14:paraId="21065D7C" w14:textId="77777777" w:rsidTr="00292BEF">
        <w:sdt>
          <w:sdtPr>
            <w:id w:val="-343781582"/>
            <w:placeholder>
              <w:docPart w:val="2F8D231325654E9AB46B3D49F60F909D"/>
            </w:placeholder>
          </w:sdtPr>
          <w:sdtEndPr/>
          <w:sdtContent>
            <w:tc>
              <w:tcPr>
                <w:tcW w:w="9576" w:type="dxa"/>
              </w:tcPr>
              <w:p w14:paraId="0A53E0DA" w14:textId="77777777" w:rsidR="00910341" w:rsidRDefault="002B74C9" w:rsidP="00910341">
                <w:r>
                  <w:t>Personali</w:t>
                </w:r>
                <w:r w:rsidR="001E4E36">
                  <w:t>zing oral health instruction to fit the needs of a visually impaired patient would likely</w:t>
                </w:r>
                <w:r w:rsidR="00910341">
                  <w:t xml:space="preserve"> make a significant </w:t>
                </w:r>
                <w:r w:rsidR="001E4E36">
                  <w:t xml:space="preserve">difference in their oral health outcomes. Instead of focusing on showing or demonstrating to the patient the correct oral health procedures, one should focus on utilizing the other senses to correctly deliver the information about the necessary steps they should be taking to improve or maintain their oral health status. </w:t>
                </w:r>
                <w:r w:rsidR="00EB4813">
                  <w:t>For example, using</w:t>
                </w:r>
                <w:r w:rsidR="00533540">
                  <w:t xml:space="preserve"> auditory </w:t>
                </w:r>
                <w:r w:rsidR="00EB4813">
                  <w:t>and tactile tools</w:t>
                </w:r>
                <w:r w:rsidR="00910341">
                  <w:t xml:space="preserve"> for instruction, such as including</w:t>
                </w:r>
                <w:r w:rsidR="00F22209">
                  <w:t xml:space="preserve"> plastic models while explaining the</w:t>
                </w:r>
                <w:r w:rsidR="00EB4813">
                  <w:t xml:space="preserve"> desired behavior, may help educate and instill an oral health behavior in a visually impaired patient (</w:t>
                </w:r>
                <w:proofErr w:type="spellStart"/>
                <w:r w:rsidR="00EB4813">
                  <w:t>Sardana</w:t>
                </w:r>
                <w:proofErr w:type="spellEnd"/>
                <w:r w:rsidR="00EB4813">
                  <w:t xml:space="preserve"> et al. </w:t>
                </w:r>
                <w:r w:rsidR="00413479">
                  <w:t xml:space="preserve">2019). </w:t>
                </w:r>
              </w:p>
              <w:p w14:paraId="4EE5B707" w14:textId="77777777" w:rsidR="00413479" w:rsidRDefault="00413479" w:rsidP="00910341">
                <w:r>
                  <w:t>Adjuncts that may aid in improving a visually impaired patient’s oral health include i</w:t>
                </w:r>
                <w:r w:rsidR="004E162C">
                  <w:t xml:space="preserve">tems such as a power toothbrush, an access flosser and/or oral irrigator, and </w:t>
                </w:r>
                <w:r w:rsidR="006274BE">
                  <w:t xml:space="preserve">mounted holders for oral hygiene instruments for quick and easy access. Power toothbrushes have been found </w:t>
                </w:r>
                <w:r w:rsidR="00336349">
                  <w:t>to remove plaque better than manual toothbrushes (</w:t>
                </w:r>
                <w:proofErr w:type="spellStart"/>
                <w:r w:rsidR="00336349">
                  <w:t>Delaurenti</w:t>
                </w:r>
                <w:proofErr w:type="spellEnd"/>
                <w:r w:rsidR="00336349">
                  <w:t xml:space="preserve"> et al. 2017) and can be easier to use due to simply having to push a button to turn them on and move the toothbrush to different areas of the mouth</w:t>
                </w:r>
                <w:r w:rsidR="00983128">
                  <w:t xml:space="preserve"> to clean the teeth</w:t>
                </w:r>
                <w:r w:rsidR="00336349">
                  <w:t>. Other adjuncts that may be helpful include a reach access flosser and/or</w:t>
                </w:r>
                <w:r w:rsidR="00983128">
                  <w:t xml:space="preserve"> an oral irrigator. Flossing, as well as oral irrigation, are interdental plaque removal aids that help with gingival health and overall oral hygiene (Barnes et al. 2005). These adjuncts may be well-suited for a visually impaired individual due to ease of use. The oral irrigator ejects water </w:t>
                </w:r>
                <w:r w:rsidR="002545CB">
                  <w:t>at the teeth to help with gingival health. Additionally,</w:t>
                </w:r>
                <w:r w:rsidR="00983128">
                  <w:t xml:space="preserve"> the handles on reach access flossers allow the patient to more easily move the floss throughout their mouth. </w:t>
                </w:r>
              </w:p>
              <w:p w14:paraId="5DAB6B59" w14:textId="77777777" w:rsidR="002545CB" w:rsidRDefault="002545CB" w:rsidP="00910341">
                <w:r>
                  <w:t xml:space="preserve">Lastly, if the patient is able to readily find these tools, they are more likely to complete their oral hygiene routine. This may include special holders that are readily located with wall mounts or suctions so they do not get misplaced. </w:t>
                </w:r>
                <w:bookmarkStart w:id="0" w:name="_GoBack"/>
                <w:bookmarkEnd w:id="0"/>
              </w:p>
              <w:p w14:paraId="14420D13" w14:textId="77777777" w:rsidR="00EB4813" w:rsidRDefault="00EB4813" w:rsidP="00910341"/>
              <w:p w14:paraId="44FC6047" w14:textId="77777777" w:rsidR="009E5F3C" w:rsidRDefault="009E5F3C" w:rsidP="00910341"/>
            </w:tc>
          </w:sdtContent>
        </w:sdt>
      </w:tr>
      <w:tr w:rsidR="009E5F3C" w14:paraId="2045D74A" w14:textId="77777777" w:rsidTr="00292BEF">
        <w:tc>
          <w:tcPr>
            <w:tcW w:w="9576" w:type="dxa"/>
          </w:tcPr>
          <w:p w14:paraId="0C3D21C9" w14:textId="77777777" w:rsidR="009E5F3C" w:rsidRPr="00CA07DB" w:rsidRDefault="009E5F3C" w:rsidP="009E5F3C">
            <w:pPr>
              <w:rPr>
                <w:b/>
              </w:rPr>
            </w:pPr>
            <w:r w:rsidRPr="00CA07DB">
              <w:rPr>
                <w:b/>
              </w:rPr>
              <w:t>R</w:t>
            </w:r>
            <w:r>
              <w:rPr>
                <w:b/>
              </w:rPr>
              <w:t>eferences</w:t>
            </w:r>
            <w:r w:rsidRPr="00CA07DB">
              <w:rPr>
                <w:b/>
              </w:rPr>
              <w:t>:</w:t>
            </w:r>
          </w:p>
        </w:tc>
      </w:tr>
      <w:tr w:rsidR="009E5F3C" w14:paraId="1F90A3D4" w14:textId="77777777" w:rsidTr="00292BEF">
        <w:sdt>
          <w:sdtPr>
            <w:id w:val="212933590"/>
            <w:placeholder>
              <w:docPart w:val="C4991867720F49C19930584789DA5267"/>
            </w:placeholder>
          </w:sdtPr>
          <w:sdtEndPr/>
          <w:sdtContent>
            <w:tc>
              <w:tcPr>
                <w:tcW w:w="9576" w:type="dxa"/>
              </w:tcPr>
              <w:p w14:paraId="3260FF5C" w14:textId="77777777" w:rsidR="002545CB" w:rsidRPr="002545CB" w:rsidRDefault="002545CB" w:rsidP="00413479">
                <w:pPr>
                  <w:widowControl/>
                  <w:rPr>
                    <w:snapToGrid/>
                    <w:szCs w:val="24"/>
                  </w:rPr>
                </w:pPr>
                <w:r w:rsidRPr="002545CB">
                  <w:rPr>
                    <w:rFonts w:ascii="Segoe UI" w:hAnsi="Segoe UI" w:cs="Segoe UI"/>
                    <w:snapToGrid/>
                    <w:color w:val="212121"/>
                    <w:szCs w:val="24"/>
                    <w:shd w:val="clear" w:color="auto" w:fill="FFFFFF"/>
                  </w:rPr>
                  <w:t xml:space="preserve">Barnes, C. M., Russell, C. M., Reinhardt, R. A., Payne, J. B., &amp; Lyle, D. M. (2005). Comparison of irrigation to floss as an adjunct to tooth brushing: effect on bleeding, gingivitis, and </w:t>
                </w:r>
                <w:proofErr w:type="spellStart"/>
                <w:r w:rsidRPr="002545CB">
                  <w:rPr>
                    <w:rFonts w:ascii="Segoe UI" w:hAnsi="Segoe UI" w:cs="Segoe UI"/>
                    <w:snapToGrid/>
                    <w:color w:val="212121"/>
                    <w:szCs w:val="24"/>
                    <w:shd w:val="clear" w:color="auto" w:fill="FFFFFF"/>
                  </w:rPr>
                  <w:t>supragingival</w:t>
                </w:r>
                <w:proofErr w:type="spellEnd"/>
                <w:r w:rsidRPr="002545CB">
                  <w:rPr>
                    <w:rFonts w:ascii="Segoe UI" w:hAnsi="Segoe UI" w:cs="Segoe UI"/>
                    <w:snapToGrid/>
                    <w:color w:val="212121"/>
                    <w:szCs w:val="24"/>
                    <w:shd w:val="clear" w:color="auto" w:fill="FFFFFF"/>
                  </w:rPr>
                  <w:t xml:space="preserve"> plaque. </w:t>
                </w:r>
                <w:r w:rsidRPr="002545CB">
                  <w:rPr>
                    <w:rFonts w:ascii="Segoe UI" w:hAnsi="Segoe UI" w:cs="Segoe UI"/>
                    <w:i/>
                    <w:iCs/>
                    <w:snapToGrid/>
                    <w:color w:val="212121"/>
                    <w:szCs w:val="24"/>
                    <w:shd w:val="clear" w:color="auto" w:fill="FFFFFF"/>
                  </w:rPr>
                  <w:t>The Journal of clinical dentistry</w:t>
                </w:r>
                <w:r w:rsidRPr="002545CB">
                  <w:rPr>
                    <w:rFonts w:ascii="Segoe UI" w:hAnsi="Segoe UI" w:cs="Segoe UI"/>
                    <w:snapToGrid/>
                    <w:color w:val="212121"/>
                    <w:szCs w:val="24"/>
                    <w:shd w:val="clear" w:color="auto" w:fill="FFFFFF"/>
                  </w:rPr>
                  <w:t>, </w:t>
                </w:r>
                <w:r w:rsidRPr="002545CB">
                  <w:rPr>
                    <w:rFonts w:ascii="Segoe UI" w:hAnsi="Segoe UI" w:cs="Segoe UI"/>
                    <w:i/>
                    <w:iCs/>
                    <w:snapToGrid/>
                    <w:color w:val="212121"/>
                    <w:szCs w:val="24"/>
                    <w:shd w:val="clear" w:color="auto" w:fill="FFFFFF"/>
                  </w:rPr>
                  <w:t>16</w:t>
                </w:r>
                <w:r w:rsidRPr="002545CB">
                  <w:rPr>
                    <w:rFonts w:ascii="Segoe UI" w:hAnsi="Segoe UI" w:cs="Segoe UI"/>
                    <w:snapToGrid/>
                    <w:color w:val="212121"/>
                    <w:szCs w:val="24"/>
                    <w:shd w:val="clear" w:color="auto" w:fill="FFFFFF"/>
                  </w:rPr>
                  <w:t>(3), 71–77.</w:t>
                </w:r>
              </w:p>
              <w:p w14:paraId="4E313F38" w14:textId="77777777" w:rsidR="002545CB" w:rsidRDefault="002545CB" w:rsidP="00413479">
                <w:pPr>
                  <w:widowControl/>
                </w:pPr>
              </w:p>
              <w:p w14:paraId="5253162B" w14:textId="77777777" w:rsidR="00983128" w:rsidRPr="00983128" w:rsidRDefault="00983128" w:rsidP="00413479">
                <w:pPr>
                  <w:widowControl/>
                  <w:rPr>
                    <w:snapToGrid/>
                    <w:szCs w:val="24"/>
                  </w:rPr>
                </w:pPr>
                <w:proofErr w:type="spellStart"/>
                <w:r w:rsidRPr="00983128">
                  <w:rPr>
                    <w:rFonts w:ascii="Segoe UI" w:hAnsi="Segoe UI" w:cs="Segoe UI"/>
                    <w:snapToGrid/>
                    <w:color w:val="212121"/>
                    <w:szCs w:val="24"/>
                    <w:shd w:val="clear" w:color="auto" w:fill="FFFFFF"/>
                  </w:rPr>
                  <w:t>Delaurenti</w:t>
                </w:r>
                <w:proofErr w:type="spellEnd"/>
                <w:r w:rsidRPr="00983128">
                  <w:rPr>
                    <w:rFonts w:ascii="Segoe UI" w:hAnsi="Segoe UI" w:cs="Segoe UI"/>
                    <w:snapToGrid/>
                    <w:color w:val="212121"/>
                    <w:szCs w:val="24"/>
                    <w:shd w:val="clear" w:color="auto" w:fill="FFFFFF"/>
                  </w:rPr>
                  <w:t xml:space="preserve">, M., Ward, M., Souza, S., Jenkins, W., Putt, M. S., </w:t>
                </w:r>
                <w:proofErr w:type="spellStart"/>
                <w:r w:rsidRPr="00983128">
                  <w:rPr>
                    <w:rFonts w:ascii="Segoe UI" w:hAnsi="Segoe UI" w:cs="Segoe UI"/>
                    <w:snapToGrid/>
                    <w:color w:val="212121"/>
                    <w:szCs w:val="24"/>
                    <w:shd w:val="clear" w:color="auto" w:fill="FFFFFF"/>
                  </w:rPr>
                  <w:t>Milleman</w:t>
                </w:r>
                <w:proofErr w:type="spellEnd"/>
                <w:r w:rsidRPr="00983128">
                  <w:rPr>
                    <w:rFonts w:ascii="Segoe UI" w:hAnsi="Segoe UI" w:cs="Segoe UI"/>
                    <w:snapToGrid/>
                    <w:color w:val="212121"/>
                    <w:szCs w:val="24"/>
                    <w:shd w:val="clear" w:color="auto" w:fill="FFFFFF"/>
                  </w:rPr>
                  <w:t xml:space="preserve">, K. R., &amp; </w:t>
                </w:r>
                <w:proofErr w:type="spellStart"/>
                <w:r w:rsidRPr="00983128">
                  <w:rPr>
                    <w:rFonts w:ascii="Segoe UI" w:hAnsi="Segoe UI" w:cs="Segoe UI"/>
                    <w:snapToGrid/>
                    <w:color w:val="212121"/>
                    <w:szCs w:val="24"/>
                    <w:shd w:val="clear" w:color="auto" w:fill="FFFFFF"/>
                  </w:rPr>
                  <w:t>Milleman</w:t>
                </w:r>
                <w:proofErr w:type="spellEnd"/>
                <w:r w:rsidRPr="00983128">
                  <w:rPr>
                    <w:rFonts w:ascii="Segoe UI" w:hAnsi="Segoe UI" w:cs="Segoe UI"/>
                    <w:snapToGrid/>
                    <w:color w:val="212121"/>
                    <w:szCs w:val="24"/>
                    <w:shd w:val="clear" w:color="auto" w:fill="FFFFFF"/>
                  </w:rPr>
                  <w:t>, J. L. (2017). The Effect of Use of a Sonic Power Toothbrush and a Manual Toothbrush Control on Plaque and Gingivitis. </w:t>
                </w:r>
                <w:r w:rsidRPr="00983128">
                  <w:rPr>
                    <w:rFonts w:ascii="Segoe UI" w:hAnsi="Segoe UI" w:cs="Segoe UI"/>
                    <w:i/>
                    <w:iCs/>
                    <w:snapToGrid/>
                    <w:color w:val="212121"/>
                    <w:szCs w:val="24"/>
                    <w:shd w:val="clear" w:color="auto" w:fill="FFFFFF"/>
                  </w:rPr>
                  <w:t>The Journal of clinical dentistry</w:t>
                </w:r>
                <w:r w:rsidRPr="00983128">
                  <w:rPr>
                    <w:rFonts w:ascii="Segoe UI" w:hAnsi="Segoe UI" w:cs="Segoe UI"/>
                    <w:snapToGrid/>
                    <w:color w:val="212121"/>
                    <w:szCs w:val="24"/>
                    <w:shd w:val="clear" w:color="auto" w:fill="FFFFFF"/>
                  </w:rPr>
                  <w:t>, </w:t>
                </w:r>
                <w:r w:rsidRPr="00983128">
                  <w:rPr>
                    <w:rFonts w:ascii="Segoe UI" w:hAnsi="Segoe UI" w:cs="Segoe UI"/>
                    <w:i/>
                    <w:iCs/>
                    <w:snapToGrid/>
                    <w:color w:val="212121"/>
                    <w:szCs w:val="24"/>
                    <w:shd w:val="clear" w:color="auto" w:fill="FFFFFF"/>
                  </w:rPr>
                  <w:t>28</w:t>
                </w:r>
                <w:r w:rsidRPr="00983128">
                  <w:rPr>
                    <w:rFonts w:ascii="Segoe UI" w:hAnsi="Segoe UI" w:cs="Segoe UI"/>
                    <w:snapToGrid/>
                    <w:color w:val="212121"/>
                    <w:szCs w:val="24"/>
                    <w:shd w:val="clear" w:color="auto" w:fill="FFFFFF"/>
                  </w:rPr>
                  <w:t>(1 Spec No A), A1–A6.</w:t>
                </w:r>
              </w:p>
              <w:p w14:paraId="58864CC1" w14:textId="77777777" w:rsidR="00983128" w:rsidRDefault="00983128" w:rsidP="00413479">
                <w:pPr>
                  <w:widowControl/>
                </w:pPr>
              </w:p>
              <w:p w14:paraId="333B7FDA" w14:textId="77777777" w:rsidR="00413479" w:rsidRPr="00413479" w:rsidRDefault="00413479" w:rsidP="00413479">
                <w:pPr>
                  <w:widowControl/>
                  <w:rPr>
                    <w:snapToGrid/>
                    <w:szCs w:val="24"/>
                  </w:rPr>
                </w:pPr>
                <w:proofErr w:type="spellStart"/>
                <w:r w:rsidRPr="00413479">
                  <w:rPr>
                    <w:rFonts w:ascii="Segoe UI" w:hAnsi="Segoe UI" w:cs="Segoe UI"/>
                    <w:snapToGrid/>
                    <w:color w:val="212121"/>
                    <w:szCs w:val="24"/>
                    <w:shd w:val="clear" w:color="auto" w:fill="FFFFFF"/>
                  </w:rPr>
                  <w:t>Sardana</w:t>
                </w:r>
                <w:proofErr w:type="spellEnd"/>
                <w:r w:rsidRPr="00413479">
                  <w:rPr>
                    <w:rFonts w:ascii="Segoe UI" w:hAnsi="Segoe UI" w:cs="Segoe UI"/>
                    <w:snapToGrid/>
                    <w:color w:val="212121"/>
                    <w:szCs w:val="24"/>
                    <w:shd w:val="clear" w:color="auto" w:fill="FFFFFF"/>
                  </w:rPr>
                  <w:t xml:space="preserve">, D., </w:t>
                </w:r>
                <w:proofErr w:type="spellStart"/>
                <w:r w:rsidRPr="00413479">
                  <w:rPr>
                    <w:rFonts w:ascii="Segoe UI" w:hAnsi="Segoe UI" w:cs="Segoe UI"/>
                    <w:snapToGrid/>
                    <w:color w:val="212121"/>
                    <w:szCs w:val="24"/>
                    <w:shd w:val="clear" w:color="auto" w:fill="FFFFFF"/>
                  </w:rPr>
                  <w:t>Goyal</w:t>
                </w:r>
                <w:proofErr w:type="spellEnd"/>
                <w:r w:rsidRPr="00413479">
                  <w:rPr>
                    <w:rFonts w:ascii="Segoe UI" w:hAnsi="Segoe UI" w:cs="Segoe UI"/>
                    <w:snapToGrid/>
                    <w:color w:val="212121"/>
                    <w:szCs w:val="24"/>
                    <w:shd w:val="clear" w:color="auto" w:fill="FFFFFF"/>
                  </w:rPr>
                  <w:t xml:space="preserve">, A., </w:t>
                </w:r>
                <w:proofErr w:type="spellStart"/>
                <w:r w:rsidRPr="00413479">
                  <w:rPr>
                    <w:rFonts w:ascii="Segoe UI" w:hAnsi="Segoe UI" w:cs="Segoe UI"/>
                    <w:snapToGrid/>
                    <w:color w:val="212121"/>
                    <w:szCs w:val="24"/>
                    <w:shd w:val="clear" w:color="auto" w:fill="FFFFFF"/>
                  </w:rPr>
                  <w:t>Gauba</w:t>
                </w:r>
                <w:proofErr w:type="spellEnd"/>
                <w:r w:rsidRPr="00413479">
                  <w:rPr>
                    <w:rFonts w:ascii="Segoe UI" w:hAnsi="Segoe UI" w:cs="Segoe UI"/>
                    <w:snapToGrid/>
                    <w:color w:val="212121"/>
                    <w:szCs w:val="24"/>
                    <w:shd w:val="clear" w:color="auto" w:fill="FFFFFF"/>
                  </w:rPr>
                  <w:t xml:space="preserve">, K., </w:t>
                </w:r>
                <w:proofErr w:type="spellStart"/>
                <w:r w:rsidRPr="00413479">
                  <w:rPr>
                    <w:rFonts w:ascii="Segoe UI" w:hAnsi="Segoe UI" w:cs="Segoe UI"/>
                    <w:snapToGrid/>
                    <w:color w:val="212121"/>
                    <w:szCs w:val="24"/>
                    <w:shd w:val="clear" w:color="auto" w:fill="FFFFFF"/>
                  </w:rPr>
                  <w:t>Kapur</w:t>
                </w:r>
                <w:proofErr w:type="spellEnd"/>
                <w:r w:rsidRPr="00413479">
                  <w:rPr>
                    <w:rFonts w:ascii="Segoe UI" w:hAnsi="Segoe UI" w:cs="Segoe UI"/>
                    <w:snapToGrid/>
                    <w:color w:val="212121"/>
                    <w:szCs w:val="24"/>
                    <w:shd w:val="clear" w:color="auto" w:fill="FFFFFF"/>
                  </w:rPr>
                  <w:t xml:space="preserve">, A., &amp; </w:t>
                </w:r>
                <w:proofErr w:type="spellStart"/>
                <w:r w:rsidRPr="00413479">
                  <w:rPr>
                    <w:rFonts w:ascii="Segoe UI" w:hAnsi="Segoe UI" w:cs="Segoe UI"/>
                    <w:snapToGrid/>
                    <w:color w:val="212121"/>
                    <w:szCs w:val="24"/>
                    <w:shd w:val="clear" w:color="auto" w:fill="FFFFFF"/>
                  </w:rPr>
                  <w:t>Manchanda</w:t>
                </w:r>
                <w:proofErr w:type="spellEnd"/>
                <w:r w:rsidRPr="00413479">
                  <w:rPr>
                    <w:rFonts w:ascii="Segoe UI" w:hAnsi="Segoe UI" w:cs="Segoe UI"/>
                    <w:snapToGrid/>
                    <w:color w:val="212121"/>
                    <w:szCs w:val="24"/>
                    <w:shd w:val="clear" w:color="auto" w:fill="FFFFFF"/>
                  </w:rPr>
                  <w:t xml:space="preserve">, S. (2019). Effect of specially designed oral health preventive </w:t>
                </w:r>
                <w:proofErr w:type="spellStart"/>
                <w:r w:rsidRPr="00413479">
                  <w:rPr>
                    <w:rFonts w:ascii="Segoe UI" w:hAnsi="Segoe UI" w:cs="Segoe UI"/>
                    <w:snapToGrid/>
                    <w:color w:val="212121"/>
                    <w:szCs w:val="24"/>
                    <w:shd w:val="clear" w:color="auto" w:fill="FFFFFF"/>
                  </w:rPr>
                  <w:t>programme</w:t>
                </w:r>
                <w:proofErr w:type="spellEnd"/>
                <w:r w:rsidRPr="00413479">
                  <w:rPr>
                    <w:rFonts w:ascii="Segoe UI" w:hAnsi="Segoe UI" w:cs="Segoe UI"/>
                    <w:snapToGrid/>
                    <w:color w:val="212121"/>
                    <w:szCs w:val="24"/>
                    <w:shd w:val="clear" w:color="auto" w:fill="FFFFFF"/>
                  </w:rPr>
                  <w:t xml:space="preserve"> on oral health of visually impaired children: use </w:t>
                </w:r>
                <w:r w:rsidRPr="00413479">
                  <w:rPr>
                    <w:rFonts w:ascii="Segoe UI" w:hAnsi="Segoe UI" w:cs="Segoe UI"/>
                    <w:snapToGrid/>
                    <w:color w:val="212121"/>
                    <w:szCs w:val="24"/>
                    <w:shd w:val="clear" w:color="auto" w:fill="FFFFFF"/>
                  </w:rPr>
                  <w:lastRenderedPageBreak/>
                  <w:t>of audio and tactile aids. </w:t>
                </w:r>
                <w:r w:rsidRPr="00413479">
                  <w:rPr>
                    <w:rFonts w:ascii="Segoe UI" w:hAnsi="Segoe UI" w:cs="Segoe UI"/>
                    <w:i/>
                    <w:iCs/>
                    <w:snapToGrid/>
                    <w:color w:val="212121"/>
                    <w:szCs w:val="24"/>
                    <w:shd w:val="clear" w:color="auto" w:fill="FFFFFF"/>
                  </w:rPr>
                  <w:t>International dental journal</w:t>
                </w:r>
                <w:r w:rsidRPr="00413479">
                  <w:rPr>
                    <w:rFonts w:ascii="Segoe UI" w:hAnsi="Segoe UI" w:cs="Segoe UI"/>
                    <w:snapToGrid/>
                    <w:color w:val="212121"/>
                    <w:szCs w:val="24"/>
                    <w:shd w:val="clear" w:color="auto" w:fill="FFFFFF"/>
                  </w:rPr>
                  <w:t>, </w:t>
                </w:r>
                <w:r w:rsidRPr="00413479">
                  <w:rPr>
                    <w:rFonts w:ascii="Segoe UI" w:hAnsi="Segoe UI" w:cs="Segoe UI"/>
                    <w:i/>
                    <w:iCs/>
                    <w:snapToGrid/>
                    <w:color w:val="212121"/>
                    <w:szCs w:val="24"/>
                    <w:shd w:val="clear" w:color="auto" w:fill="FFFFFF"/>
                  </w:rPr>
                  <w:t>69</w:t>
                </w:r>
                <w:r w:rsidRPr="00413479">
                  <w:rPr>
                    <w:rFonts w:ascii="Segoe UI" w:hAnsi="Segoe UI" w:cs="Segoe UI"/>
                    <w:snapToGrid/>
                    <w:color w:val="212121"/>
                    <w:szCs w:val="24"/>
                    <w:shd w:val="clear" w:color="auto" w:fill="FFFFFF"/>
                  </w:rPr>
                  <w:t>(2), 98–106. https://doi.org/10.1111/idj.12436</w:t>
                </w:r>
              </w:p>
              <w:p w14:paraId="0CA48BB7" w14:textId="77777777" w:rsidR="009E5F3C" w:rsidRDefault="009E5F3C" w:rsidP="00292BEF"/>
            </w:tc>
          </w:sdtContent>
        </w:sdt>
      </w:tr>
    </w:tbl>
    <w:p w14:paraId="0AE9C646"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3240" w14:textId="77777777" w:rsidR="00DB2888" w:rsidRDefault="00DB2888" w:rsidP="00292BEF">
      <w:r>
        <w:separator/>
      </w:r>
    </w:p>
  </w:endnote>
  <w:endnote w:type="continuationSeparator" w:id="0">
    <w:p w14:paraId="04A15D2D" w14:textId="77777777" w:rsidR="00DB2888" w:rsidRDefault="00DB288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57620" w14:textId="77777777" w:rsidR="00DB2888" w:rsidRDefault="00DB2888" w:rsidP="00292BEF">
      <w:r>
        <w:separator/>
      </w:r>
    </w:p>
  </w:footnote>
  <w:footnote w:type="continuationSeparator" w:id="0">
    <w:p w14:paraId="1AF1B405" w14:textId="77777777" w:rsidR="00DB2888" w:rsidRDefault="00DB2888" w:rsidP="00292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7957" w14:textId="77777777" w:rsidR="00292BEF" w:rsidRPr="00292BEF" w:rsidRDefault="00292BEF" w:rsidP="00292BEF">
    <w:pPr>
      <w:pStyle w:val="Header"/>
      <w:jc w:val="right"/>
      <w:rPr>
        <w:sz w:val="28"/>
      </w:rPr>
    </w:pPr>
    <w:r w:rsidRPr="00292BEF">
      <w:rPr>
        <w:sz w:val="28"/>
      </w:rPr>
      <w:t>MUSoD Rounds</w:t>
    </w:r>
  </w:p>
  <w:p w14:paraId="0F62C2CB" w14:textId="77777777" w:rsidR="00292BEF" w:rsidRDefault="00292BEF" w:rsidP="00292BEF">
    <w:pPr>
      <w:pStyle w:val="Header"/>
      <w:jc w:val="right"/>
      <w:rPr>
        <w:sz w:val="28"/>
      </w:rPr>
    </w:pPr>
    <w:r w:rsidRPr="00292BEF">
      <w:rPr>
        <w:sz w:val="28"/>
      </w:rPr>
      <w:t>D1 Basic Science</w:t>
    </w:r>
  </w:p>
  <w:p w14:paraId="5AD7A476" w14:textId="77777777" w:rsidR="00292BEF" w:rsidRDefault="00292BEF" w:rsidP="00292BEF">
    <w:pPr>
      <w:pStyle w:val="Header"/>
      <w:jc w:val="right"/>
      <w:rPr>
        <w:sz w:val="28"/>
      </w:rPr>
    </w:pPr>
  </w:p>
  <w:p w14:paraId="1DCD1DFB"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EF"/>
    <w:rsid w:val="00036D78"/>
    <w:rsid w:val="001E4E36"/>
    <w:rsid w:val="002223D1"/>
    <w:rsid w:val="00246C4B"/>
    <w:rsid w:val="002545CB"/>
    <w:rsid w:val="00292BEF"/>
    <w:rsid w:val="002B74C9"/>
    <w:rsid w:val="002E081A"/>
    <w:rsid w:val="00307F00"/>
    <w:rsid w:val="00336349"/>
    <w:rsid w:val="003440A0"/>
    <w:rsid w:val="00413479"/>
    <w:rsid w:val="004A5209"/>
    <w:rsid w:val="004E162C"/>
    <w:rsid w:val="00533540"/>
    <w:rsid w:val="006274BE"/>
    <w:rsid w:val="006B50F8"/>
    <w:rsid w:val="007B6610"/>
    <w:rsid w:val="0088610C"/>
    <w:rsid w:val="00910341"/>
    <w:rsid w:val="00983128"/>
    <w:rsid w:val="009E5F3C"/>
    <w:rsid w:val="00B50056"/>
    <w:rsid w:val="00C971E5"/>
    <w:rsid w:val="00CA07DB"/>
    <w:rsid w:val="00CA1BEB"/>
    <w:rsid w:val="00DB2888"/>
    <w:rsid w:val="00DF1FAB"/>
    <w:rsid w:val="00EB4813"/>
    <w:rsid w:val="00F22209"/>
    <w:rsid w:val="00F3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DED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80">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95661">
      <w:bodyDiv w:val="1"/>
      <w:marLeft w:val="0"/>
      <w:marRight w:val="0"/>
      <w:marTop w:val="0"/>
      <w:marBottom w:val="0"/>
      <w:divBdr>
        <w:top w:val="none" w:sz="0" w:space="0" w:color="auto"/>
        <w:left w:val="none" w:sz="0" w:space="0" w:color="auto"/>
        <w:bottom w:val="none" w:sz="0" w:space="0" w:color="auto"/>
        <w:right w:val="none" w:sz="0" w:space="0" w:color="auto"/>
      </w:divBdr>
    </w:div>
    <w:div w:id="758527455">
      <w:bodyDiv w:val="1"/>
      <w:marLeft w:val="0"/>
      <w:marRight w:val="0"/>
      <w:marTop w:val="0"/>
      <w:marBottom w:val="0"/>
      <w:divBdr>
        <w:top w:val="none" w:sz="0" w:space="0" w:color="auto"/>
        <w:left w:val="none" w:sz="0" w:space="0" w:color="auto"/>
        <w:bottom w:val="none" w:sz="0" w:space="0" w:color="auto"/>
        <w:right w:val="none" w:sz="0" w:space="0" w:color="auto"/>
      </w:divBdr>
    </w:div>
    <w:div w:id="1312370869">
      <w:bodyDiv w:val="1"/>
      <w:marLeft w:val="0"/>
      <w:marRight w:val="0"/>
      <w:marTop w:val="0"/>
      <w:marBottom w:val="0"/>
      <w:divBdr>
        <w:top w:val="none" w:sz="0" w:space="0" w:color="auto"/>
        <w:left w:val="none" w:sz="0" w:space="0" w:color="auto"/>
        <w:bottom w:val="none" w:sz="0" w:space="0" w:color="auto"/>
        <w:right w:val="none" w:sz="0" w:space="0" w:color="auto"/>
      </w:divBdr>
    </w:div>
    <w:div w:id="18471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7F"/>
    <w:rsid w:val="0001103E"/>
    <w:rsid w:val="00080ED1"/>
    <w:rsid w:val="002F217F"/>
    <w:rsid w:val="00347B69"/>
    <w:rsid w:val="0047423F"/>
    <w:rsid w:val="0064749E"/>
    <w:rsid w:val="007F7A68"/>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446</Words>
  <Characters>2546</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Teagan Pyszka</cp:lastModifiedBy>
  <cp:revision>3</cp:revision>
  <dcterms:created xsi:type="dcterms:W3CDTF">2016-12-19T15:00:00Z</dcterms:created>
  <dcterms:modified xsi:type="dcterms:W3CDTF">2020-11-04T01:59:00Z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