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6B4D40" w:rsidP="00875E38">
                <w:r>
                  <w:t>India Martin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6B4D40" w:rsidP="009F7390">
                <w:r>
                  <w:t>10A-2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Pr="006B4D40" w:rsidRDefault="006B4D40" w:rsidP="006B4D40">
                <w:pPr>
                  <w:widowControl/>
                  <w:rPr>
                    <w:snapToGrid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How do caries progress and how does xerostomia affect this process?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>
            <w:rPr>
              <w:snapToGrid/>
              <w:szCs w:val="24"/>
            </w:rPr>
          </w:sdtEndPr>
          <w:sdtContent>
            <w:tc>
              <w:tcPr>
                <w:tcW w:w="9576" w:type="dxa"/>
              </w:tcPr>
              <w:p w:rsidR="000220F6" w:rsidRPr="00A41498" w:rsidRDefault="000220F6" w:rsidP="000220F6">
                <w:pPr>
                  <w:rPr>
                    <w:rFonts w:ascii="Calibri" w:hAnsi="Calibri" w:cs="Calibri"/>
                    <w:u w:val="single"/>
                  </w:rPr>
                </w:pPr>
                <w:r w:rsidRPr="00A41498">
                  <w:rPr>
                    <w:rFonts w:ascii="Calibri" w:hAnsi="Calibri" w:cs="Calibri"/>
                    <w:u w:val="single"/>
                  </w:rPr>
                  <w:t>Cause: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Calibri" w:hAnsi="Calibri" w:cs="Calibri"/>
                    <w:i/>
                    <w:iCs/>
                    <w:color w:val="202124"/>
                  </w:rPr>
                </w:pPr>
                <w:r w:rsidRPr="00A41498">
                  <w:rPr>
                    <w:rFonts w:ascii="Calibri" w:hAnsi="Calibri" w:cs="Calibri"/>
                    <w:i/>
                    <w:iCs/>
                    <w:color w:val="202124"/>
                  </w:rPr>
                  <w:t xml:space="preserve">Streptococcus </w:t>
                </w:r>
                <w:proofErr w:type="spellStart"/>
                <w:r w:rsidRPr="00A41498">
                  <w:rPr>
                    <w:rFonts w:ascii="Calibri" w:hAnsi="Calibri" w:cs="Calibri"/>
                    <w:i/>
                    <w:iCs/>
                    <w:color w:val="202124"/>
                  </w:rPr>
                  <w:t>mutans</w:t>
                </w:r>
                <w:proofErr w:type="spellEnd"/>
                <w:r w:rsidRPr="00A41498">
                  <w:rPr>
                    <w:rFonts w:ascii="Calibri" w:hAnsi="Calibri" w:cs="Calibri"/>
                    <w:i/>
                    <w:iCs/>
                    <w:color w:val="202124"/>
                  </w:rPr>
                  <w:t xml:space="preserve"> </w:t>
                </w:r>
                <w:r w:rsidRPr="00A41498">
                  <w:rPr>
                    <w:rFonts w:ascii="Calibri" w:hAnsi="Calibri" w:cs="Calibri"/>
                    <w:color w:val="202124"/>
                  </w:rPr>
                  <w:t xml:space="preserve">(Initiation), </w:t>
                </w:r>
                <w:r w:rsidRPr="00A41498">
                  <w:rPr>
                    <w:rFonts w:ascii="Calibri" w:hAnsi="Calibri" w:cs="Calibri"/>
                    <w:i/>
                    <w:iCs/>
                    <w:color w:val="202124"/>
                    <w:shd w:val="clear" w:color="auto" w:fill="FFFFFF"/>
                  </w:rPr>
                  <w:t xml:space="preserve">Lactobacilli </w:t>
                </w:r>
                <w:r w:rsidRPr="00A41498">
                  <w:rPr>
                    <w:rFonts w:ascii="Calibri" w:hAnsi="Calibri" w:cs="Calibri"/>
                    <w:color w:val="202124"/>
                    <w:shd w:val="clear" w:color="auto" w:fill="FFFFFF"/>
                  </w:rPr>
                  <w:t>(Progression)</w:t>
                </w:r>
              </w:p>
              <w:p w:rsidR="000220F6" w:rsidRPr="00A41498" w:rsidRDefault="000220F6" w:rsidP="000220F6">
                <w:pPr>
                  <w:rPr>
                    <w:rFonts w:ascii="Calibri" w:hAnsi="Calibri" w:cs="Calibri"/>
                    <w:u w:val="single"/>
                  </w:rPr>
                </w:pPr>
                <w:r w:rsidRPr="00A41498">
                  <w:rPr>
                    <w:rFonts w:ascii="Calibri" w:hAnsi="Calibri" w:cs="Calibri"/>
                    <w:u w:val="single"/>
                  </w:rPr>
                  <w:t>What happens: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 xml:space="preserve">Acid production and biofilm aggregation 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1"/>
                    <w:numId w:val="2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 xml:space="preserve">Biofilm composed of bacteria 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1"/>
                    <w:numId w:val="2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 xml:space="preserve">Biofilm enhances </w:t>
                </w:r>
                <w:proofErr w:type="spellStart"/>
                <w:r w:rsidRPr="00A41498">
                  <w:rPr>
                    <w:rFonts w:ascii="Calibri" w:hAnsi="Calibri" w:cs="Calibri"/>
                  </w:rPr>
                  <w:t>carogenicity</w:t>
                </w:r>
                <w:proofErr w:type="spellEnd"/>
                <w:r w:rsidRPr="00A41498">
                  <w:rPr>
                    <w:rFonts w:ascii="Calibri" w:hAnsi="Calibri" w:cs="Calibri"/>
                  </w:rPr>
                  <w:t xml:space="preserve"> by protecting from host defenses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>Bacteria breakdown carbohydrates producing acid biproduct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 xml:space="preserve">Greater biofilm leads to greater acid production 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>Enamel demineralizes at pH 5.5 and less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>Repeated cycles of acid production without removal aids in caries progression</w:t>
                </w:r>
              </w:p>
              <w:p w:rsidR="000220F6" w:rsidRPr="00A41498" w:rsidRDefault="000220F6" w:rsidP="000220F6">
                <w:pPr>
                  <w:rPr>
                    <w:rFonts w:ascii="Calibri" w:hAnsi="Calibri" w:cs="Calibri"/>
                    <w:u w:val="single"/>
                  </w:rPr>
                </w:pPr>
                <w:r w:rsidRPr="00A41498">
                  <w:rPr>
                    <w:rFonts w:ascii="Calibri" w:hAnsi="Calibri" w:cs="Calibri"/>
                    <w:u w:val="single"/>
                  </w:rPr>
                  <w:t>Protecting factors: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>Mechanical removal</w:t>
                </w:r>
                <w:r>
                  <w:rPr>
                    <w:rFonts w:ascii="Calibri" w:hAnsi="Calibri" w:cs="Calibri"/>
                  </w:rPr>
                  <w:t xml:space="preserve"> (b</w:t>
                </w:r>
                <w:r w:rsidRPr="00A41498">
                  <w:rPr>
                    <w:rFonts w:ascii="Calibri" w:hAnsi="Calibri" w:cs="Calibri"/>
                  </w:rPr>
                  <w:t>rushing, flossing, etc.</w:t>
                </w:r>
                <w:r>
                  <w:rPr>
                    <w:rFonts w:ascii="Calibri" w:hAnsi="Calibri" w:cs="Calibri"/>
                  </w:rPr>
                  <w:t xml:space="preserve">), </w:t>
                </w:r>
                <w:r w:rsidRPr="00A41498">
                  <w:rPr>
                    <w:rFonts w:ascii="Calibri" w:hAnsi="Calibri" w:cs="Calibri"/>
                  </w:rPr>
                  <w:t>Diet (clean crunchy foods (carrots), water)</w:t>
                </w:r>
                <w:r>
                  <w:rPr>
                    <w:rFonts w:ascii="Calibri" w:hAnsi="Calibri" w:cs="Calibri"/>
                  </w:rPr>
                  <w:t xml:space="preserve">, </w:t>
                </w:r>
                <w:r w:rsidRPr="00A41498">
                  <w:rPr>
                    <w:rFonts w:ascii="Calibri" w:hAnsi="Calibri" w:cs="Calibri"/>
                  </w:rPr>
                  <w:t>Fluoride</w:t>
                </w:r>
                <w:r>
                  <w:rPr>
                    <w:rFonts w:ascii="Calibri" w:hAnsi="Calibri" w:cs="Calibri"/>
                  </w:rPr>
                  <w:t xml:space="preserve">, </w:t>
                </w:r>
                <w:r w:rsidRPr="00A41498">
                  <w:rPr>
                    <w:rFonts w:ascii="Calibri" w:hAnsi="Calibri" w:cs="Calibri"/>
                  </w:rPr>
                  <w:t>Salivary flow</w:t>
                </w:r>
              </w:p>
              <w:p w:rsidR="000220F6" w:rsidRPr="00A41498" w:rsidRDefault="000220F6" w:rsidP="000220F6">
                <w:pPr>
                  <w:rPr>
                    <w:rFonts w:ascii="Calibri" w:hAnsi="Calibri" w:cs="Calibri"/>
                    <w:u w:val="single"/>
                  </w:rPr>
                </w:pPr>
                <w:r w:rsidRPr="00A41498">
                  <w:rPr>
                    <w:rFonts w:ascii="Calibri" w:hAnsi="Calibri" w:cs="Calibri"/>
                    <w:u w:val="single"/>
                  </w:rPr>
                  <w:t>Saliva: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 xml:space="preserve">Fluoride content in saliva 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 xml:space="preserve">Rate of flow 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1"/>
                    <w:numId w:val="4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>Increased rate = increased bacterial clearance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 xml:space="preserve">Contains agents that help neutralize the acid produced by bacteria 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1"/>
                    <w:numId w:val="4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>Sodium bicarbonate</w:t>
                </w:r>
                <w:r>
                  <w:rPr>
                    <w:rFonts w:ascii="Calibri" w:hAnsi="Calibri" w:cs="Calibri"/>
                  </w:rPr>
                  <w:t xml:space="preserve">, </w:t>
                </w:r>
                <w:r w:rsidRPr="00A41498">
                  <w:rPr>
                    <w:rFonts w:ascii="Calibri" w:hAnsi="Calibri" w:cs="Calibri"/>
                  </w:rPr>
                  <w:t>Phosphates</w:t>
                </w:r>
                <w:r>
                  <w:rPr>
                    <w:rFonts w:ascii="Calibri" w:hAnsi="Calibri" w:cs="Calibri"/>
                  </w:rPr>
                  <w:t xml:space="preserve">, </w:t>
                </w:r>
                <w:proofErr w:type="spellStart"/>
                <w:r w:rsidRPr="00A41498">
                  <w:rPr>
                    <w:rFonts w:ascii="Calibri" w:hAnsi="Calibri" w:cs="Calibri"/>
                  </w:rPr>
                  <w:t>Sialin</w:t>
                </w:r>
                <w:proofErr w:type="spellEnd"/>
                <w:r w:rsidRPr="00A41498">
                  <w:rPr>
                    <w:rFonts w:ascii="Calibri" w:hAnsi="Calibri" w:cs="Calibri"/>
                  </w:rPr>
                  <w:t xml:space="preserve"> 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>Re-mineralizing agents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1"/>
                    <w:numId w:val="4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>Hydroxyapatite</w:t>
                </w:r>
                <w:r>
                  <w:rPr>
                    <w:rFonts w:ascii="Calibri" w:hAnsi="Calibri" w:cs="Calibri"/>
                  </w:rPr>
                  <w:t xml:space="preserve">, </w:t>
                </w:r>
                <w:r w:rsidRPr="00A41498">
                  <w:rPr>
                    <w:rFonts w:ascii="Calibri" w:hAnsi="Calibri" w:cs="Calibri"/>
                  </w:rPr>
                  <w:t>Fluorapatite</w:t>
                </w:r>
                <w:r>
                  <w:rPr>
                    <w:rFonts w:ascii="Calibri" w:hAnsi="Calibri" w:cs="Calibri"/>
                  </w:rPr>
                  <w:t xml:space="preserve">, </w:t>
                </w:r>
                <w:r w:rsidRPr="00A41498">
                  <w:rPr>
                    <w:rFonts w:ascii="Calibri" w:hAnsi="Calibri" w:cs="Calibri"/>
                  </w:rPr>
                  <w:t>Calcium ions</w:t>
                </w:r>
                <w:r>
                  <w:rPr>
                    <w:rFonts w:ascii="Calibri" w:hAnsi="Calibri" w:cs="Calibri"/>
                  </w:rPr>
                  <w:t xml:space="preserve">, </w:t>
                </w:r>
                <w:r w:rsidRPr="00A41498">
                  <w:rPr>
                    <w:rFonts w:ascii="Calibri" w:hAnsi="Calibri" w:cs="Calibri"/>
                  </w:rPr>
                  <w:t>Phosphate ions</w:t>
                </w:r>
                <w:r>
                  <w:rPr>
                    <w:rFonts w:ascii="Calibri" w:hAnsi="Calibri" w:cs="Calibri"/>
                  </w:rPr>
                  <w:t xml:space="preserve">, </w:t>
                </w:r>
                <w:r w:rsidRPr="00A41498">
                  <w:rPr>
                    <w:rFonts w:ascii="Calibri" w:hAnsi="Calibri" w:cs="Calibri"/>
                  </w:rPr>
                  <w:t>Proline</w:t>
                </w:r>
                <w:r>
                  <w:rPr>
                    <w:rFonts w:ascii="Calibri" w:hAnsi="Calibri" w:cs="Calibri"/>
                  </w:rPr>
                  <w:t xml:space="preserve">, </w:t>
                </w:r>
                <w:proofErr w:type="spellStart"/>
                <w:r w:rsidRPr="00A41498">
                  <w:rPr>
                    <w:rFonts w:ascii="Calibri" w:hAnsi="Calibri" w:cs="Calibri"/>
                  </w:rPr>
                  <w:t>Statherins</w:t>
                </w:r>
                <w:proofErr w:type="spellEnd"/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 xml:space="preserve">Antimicrobial properties </w:t>
                </w:r>
              </w:p>
              <w:p w:rsidR="000220F6" w:rsidRPr="00A41498" w:rsidRDefault="000220F6" w:rsidP="000220F6">
                <w:pPr>
                  <w:rPr>
                    <w:rFonts w:ascii="Calibri" w:hAnsi="Calibri" w:cs="Calibri"/>
                    <w:u w:val="single"/>
                  </w:rPr>
                </w:pPr>
                <w:r w:rsidRPr="00A41498">
                  <w:rPr>
                    <w:rFonts w:ascii="Calibri" w:hAnsi="Calibri" w:cs="Calibri"/>
                    <w:u w:val="single"/>
                  </w:rPr>
                  <w:t>Xerostomia (Reduction in saliva)</w:t>
                </w:r>
                <w:r>
                  <w:rPr>
                    <w:rFonts w:ascii="Calibri" w:hAnsi="Calibri" w:cs="Calibri"/>
                    <w:u w:val="single"/>
                  </w:rPr>
                  <w:t>: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 xml:space="preserve">Increased bacterial adherence 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>Less protective factors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1"/>
                    <w:numId w:val="5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 xml:space="preserve">Reduction of mineralizing agents </w:t>
                </w:r>
              </w:p>
              <w:p w:rsidR="000220F6" w:rsidRPr="00A41498" w:rsidRDefault="000220F6" w:rsidP="000220F6">
                <w:pPr>
                  <w:pStyle w:val="ListParagraph"/>
                  <w:numPr>
                    <w:ilvl w:val="1"/>
                    <w:numId w:val="5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 xml:space="preserve">Reduction of buffer </w:t>
                </w:r>
                <w:r w:rsidRPr="00A41498">
                  <w:rPr>
                    <w:rFonts w:ascii="Calibri" w:hAnsi="Calibri" w:cs="Calibri"/>
                  </w:rPr>
                  <w:sym w:font="Wingdings" w:char="F0E0"/>
                </w:r>
                <w:r w:rsidRPr="00A41498">
                  <w:rPr>
                    <w:rFonts w:ascii="Calibri" w:hAnsi="Calibri" w:cs="Calibri"/>
                  </w:rPr>
                  <w:t xml:space="preserve"> Increased acidity of oral environment</w:t>
                </w:r>
              </w:p>
              <w:p w:rsidR="005B248D" w:rsidRPr="00B860FF" w:rsidRDefault="000220F6" w:rsidP="00292BEF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Calibri" w:hAnsi="Calibri" w:cs="Calibri"/>
                  </w:rPr>
                </w:pPr>
                <w:r w:rsidRPr="00A41498">
                  <w:rPr>
                    <w:rFonts w:ascii="Calibri" w:hAnsi="Calibri" w:cs="Calibri"/>
                  </w:rPr>
                  <w:t>Reduction of bacterial and carbohydrate clearance via salivary flow rate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B823FC" w:rsidRPr="00B860FF" w:rsidRDefault="00B823FC" w:rsidP="00B860FF">
                <w:pPr>
                  <w:ind w:firstLine="720"/>
                  <w:rPr>
                    <w:rFonts w:ascii="Calibri" w:hAnsi="Calibri" w:cs="Calibri"/>
                    <w:color w:val="222222"/>
                    <w:szCs w:val="24"/>
                  </w:rPr>
                </w:pPr>
                <w:proofErr w:type="spellStart"/>
                <w:r w:rsidRPr="00BC02A1">
                  <w:rPr>
                    <w:rFonts w:ascii="Calibri" w:hAnsi="Calibri" w:cs="Calibri"/>
                    <w:color w:val="222222"/>
                    <w:szCs w:val="24"/>
                    <w:shd w:val="clear" w:color="auto" w:fill="FFFFFF"/>
                  </w:rPr>
                  <w:t>Rathee</w:t>
                </w:r>
                <w:proofErr w:type="spellEnd"/>
                <w:r w:rsidRPr="00BC02A1">
                  <w:rPr>
                    <w:rFonts w:ascii="Calibri" w:hAnsi="Calibri" w:cs="Calibri"/>
                    <w:color w:val="222222"/>
                    <w:szCs w:val="24"/>
                    <w:shd w:val="clear" w:color="auto" w:fill="FFFFFF"/>
                  </w:rPr>
                  <w:t xml:space="preserve"> M, </w:t>
                </w:r>
                <w:proofErr w:type="spellStart"/>
                <w:r w:rsidRPr="00BC02A1">
                  <w:rPr>
                    <w:rFonts w:ascii="Calibri" w:hAnsi="Calibri" w:cs="Calibri"/>
                    <w:color w:val="222222"/>
                    <w:szCs w:val="24"/>
                    <w:shd w:val="clear" w:color="auto" w:fill="FFFFFF"/>
                  </w:rPr>
                  <w:t>Sapra</w:t>
                </w:r>
                <w:proofErr w:type="spellEnd"/>
                <w:r w:rsidRPr="00BC02A1">
                  <w:rPr>
                    <w:rFonts w:ascii="Calibri" w:hAnsi="Calibri" w:cs="Calibri"/>
                    <w:color w:val="222222"/>
                    <w:szCs w:val="24"/>
                    <w:shd w:val="clear" w:color="auto" w:fill="FFFFFF"/>
                  </w:rPr>
                  <w:t xml:space="preserve"> A. Dental Caries. [Updated 2020 Jun 3]. In: </w:t>
                </w:r>
                <w:proofErr w:type="spellStart"/>
                <w:r w:rsidRPr="00BC02A1">
                  <w:rPr>
                    <w:rFonts w:ascii="Calibri" w:hAnsi="Calibri" w:cs="Calibri"/>
                    <w:color w:val="222222"/>
                    <w:szCs w:val="24"/>
                    <w:shd w:val="clear" w:color="auto" w:fill="FFFFFF"/>
                  </w:rPr>
                  <w:t>StatPearls</w:t>
                </w:r>
                <w:proofErr w:type="spellEnd"/>
                <w:r w:rsidRPr="00BC02A1">
                  <w:rPr>
                    <w:rFonts w:ascii="Calibri" w:hAnsi="Calibri" w:cs="Calibri"/>
                    <w:color w:val="222222"/>
                    <w:szCs w:val="24"/>
                    <w:shd w:val="clear" w:color="auto" w:fill="FFFFFF"/>
                  </w:rPr>
                  <w:t xml:space="preserve"> [Internet]. Treasure Island (FL): </w:t>
                </w:r>
                <w:proofErr w:type="spellStart"/>
                <w:r w:rsidRPr="00BC02A1">
                  <w:rPr>
                    <w:rFonts w:ascii="Calibri" w:hAnsi="Calibri" w:cs="Calibri"/>
                    <w:color w:val="222222"/>
                    <w:szCs w:val="24"/>
                    <w:shd w:val="clear" w:color="auto" w:fill="FFFFFF"/>
                  </w:rPr>
                  <w:t>StatPearls</w:t>
                </w:r>
                <w:proofErr w:type="spellEnd"/>
                <w:r w:rsidRPr="00BC02A1">
                  <w:rPr>
                    <w:rFonts w:ascii="Calibri" w:hAnsi="Calibri" w:cs="Calibri"/>
                    <w:color w:val="222222"/>
                    <w:szCs w:val="24"/>
                    <w:shd w:val="clear" w:color="auto" w:fill="FFFFFF"/>
                  </w:rPr>
                  <w:t xml:space="preserve"> Publishing; 2020 Jan-. </w:t>
                </w:r>
                <w:r w:rsidRPr="00BC02A1">
                  <w:rPr>
                    <w:rFonts w:ascii="Calibri" w:hAnsi="Calibri" w:cs="Calibri"/>
                    <w:color w:val="222222"/>
                    <w:szCs w:val="24"/>
                  </w:rPr>
                  <w:t xml:space="preserve">Available from: </w:t>
                </w:r>
                <w:hyperlink r:id="rId11" w:history="1">
                  <w:r w:rsidRPr="009372EC">
                    <w:rPr>
                      <w:rStyle w:val="Hyperlink"/>
                      <w:rFonts w:ascii="Calibri" w:hAnsi="Calibri" w:cs="Calibri"/>
                      <w:szCs w:val="24"/>
                    </w:rPr>
                    <w:t>https://www.ncbi.nlm.nih.gov/books/NBK551699/</w:t>
                  </w:r>
                </w:hyperlink>
              </w:p>
              <w:p w:rsidR="00B823FC" w:rsidRPr="00B860FF" w:rsidRDefault="00B823FC" w:rsidP="00B860FF">
                <w:pPr>
                  <w:ind w:firstLine="720"/>
                  <w:rPr>
                    <w:rFonts w:ascii="Calibri" w:hAnsi="Calibri" w:cs="Calibri"/>
                    <w:color w:val="212121"/>
                    <w:shd w:val="clear" w:color="auto" w:fill="FFFFFF"/>
                  </w:rPr>
                </w:pPr>
                <w:proofErr w:type="spellStart"/>
                <w:r w:rsidRPr="00BC02A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>Su</w:t>
                </w:r>
                <w:proofErr w:type="spellEnd"/>
                <w:r w:rsidRPr="00BC02A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 xml:space="preserve"> N, Marek CL, Ching V, </w:t>
                </w:r>
                <w:proofErr w:type="spellStart"/>
                <w:r w:rsidRPr="00BC02A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>Grushka</w:t>
                </w:r>
                <w:proofErr w:type="spellEnd"/>
                <w:r w:rsidRPr="00BC02A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 xml:space="preserve"> M. Caries prevention for patients with dry mouth. J Can Dent Assoc. 2011;</w:t>
                </w:r>
                <w:proofErr w:type="gramStart"/>
                <w:r w:rsidRPr="00BC02A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>77:b</w:t>
                </w:r>
                <w:proofErr w:type="gramEnd"/>
                <w:r w:rsidRPr="00BC02A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>85. PMID: 21774875.</w:t>
                </w:r>
              </w:p>
              <w:p w:rsidR="005B248D" w:rsidRPr="00B823FC" w:rsidRDefault="00B823FC" w:rsidP="00B823FC">
                <w:pPr>
                  <w:ind w:firstLine="720"/>
                  <w:rPr>
                    <w:rFonts w:ascii="Calibri" w:hAnsi="Calibri" w:cs="Calibri"/>
                  </w:rPr>
                </w:pPr>
                <w:proofErr w:type="spellStart"/>
                <w:r w:rsidRPr="00541B8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>Lagerlöf</w:t>
                </w:r>
                <w:proofErr w:type="spellEnd"/>
                <w:r w:rsidRPr="00541B8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 xml:space="preserve"> F, </w:t>
                </w:r>
                <w:proofErr w:type="spellStart"/>
                <w:r w:rsidRPr="00541B8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>Oliveby</w:t>
                </w:r>
                <w:proofErr w:type="spellEnd"/>
                <w:r w:rsidRPr="00541B8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 xml:space="preserve"> A. Caries-protective factors in saliva. Adv Dent Res. 1994 Jul;8(2):229-</w:t>
                </w:r>
                <w:r w:rsidRPr="00541B8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lastRenderedPageBreak/>
                  <w:t xml:space="preserve">38. </w:t>
                </w:r>
                <w:proofErr w:type="spellStart"/>
                <w:r w:rsidRPr="00541B8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>doi</w:t>
                </w:r>
                <w:proofErr w:type="spellEnd"/>
                <w:r w:rsidRPr="00541B81">
                  <w:rPr>
                    <w:rFonts w:ascii="Calibri" w:hAnsi="Calibri" w:cs="Calibri"/>
                    <w:color w:val="212121"/>
                    <w:shd w:val="clear" w:color="auto" w:fill="FFFFFF"/>
                  </w:rPr>
                  <w:t>: 10.1177/08959374940080021601. PMID: 7865081.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589A" w:rsidRDefault="00F9589A" w:rsidP="00292BEF">
      <w:r>
        <w:separator/>
      </w:r>
    </w:p>
  </w:endnote>
  <w:endnote w:type="continuationSeparator" w:id="0">
    <w:p w:rsidR="00F9589A" w:rsidRDefault="00F9589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589A" w:rsidRDefault="00F9589A" w:rsidP="00292BEF">
      <w:r>
        <w:separator/>
      </w:r>
    </w:p>
  </w:footnote>
  <w:footnote w:type="continuationSeparator" w:id="0">
    <w:p w:rsidR="00F9589A" w:rsidRDefault="00F9589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1D57"/>
    <w:multiLevelType w:val="hybridMultilevel"/>
    <w:tmpl w:val="70D4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49C"/>
    <w:multiLevelType w:val="hybridMultilevel"/>
    <w:tmpl w:val="C0FAE33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B7D6F13"/>
    <w:multiLevelType w:val="hybridMultilevel"/>
    <w:tmpl w:val="E3B6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17167"/>
    <w:multiLevelType w:val="hybridMultilevel"/>
    <w:tmpl w:val="9D5EBA7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65286D26"/>
    <w:multiLevelType w:val="hybridMultilevel"/>
    <w:tmpl w:val="45A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220F6"/>
    <w:rsid w:val="00036D78"/>
    <w:rsid w:val="00187B59"/>
    <w:rsid w:val="002223D1"/>
    <w:rsid w:val="00246C4B"/>
    <w:rsid w:val="00292BEF"/>
    <w:rsid w:val="00306D6B"/>
    <w:rsid w:val="004C6910"/>
    <w:rsid w:val="005B248D"/>
    <w:rsid w:val="006B4D40"/>
    <w:rsid w:val="007B6610"/>
    <w:rsid w:val="009A073A"/>
    <w:rsid w:val="009F7390"/>
    <w:rsid w:val="00B50056"/>
    <w:rsid w:val="00B823FC"/>
    <w:rsid w:val="00B860FF"/>
    <w:rsid w:val="00C42AED"/>
    <w:rsid w:val="00C90ED3"/>
    <w:rsid w:val="00CA07DB"/>
    <w:rsid w:val="00DF1FAB"/>
    <w:rsid w:val="00E05B1E"/>
    <w:rsid w:val="00F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5EEE"/>
  <w15:docId w15:val="{FE4C9003-9B6C-5743-9121-6062E2BA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B823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3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0220F6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bi.nlm.nih.gov/books/NBK551699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C26D59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C26D59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C26D59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C26D59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C26D59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8806B5"/>
    <w:rsid w:val="009612F6"/>
    <w:rsid w:val="00AE3434"/>
    <w:rsid w:val="00BB03C8"/>
    <w:rsid w:val="00BF14F3"/>
    <w:rsid w:val="00C26D59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Martin, India</cp:lastModifiedBy>
  <cp:revision>5</cp:revision>
  <dcterms:created xsi:type="dcterms:W3CDTF">2011-08-30T13:28:00Z</dcterms:created>
  <dcterms:modified xsi:type="dcterms:W3CDTF">2020-11-04T00:42:00Z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