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rsidTr="00292BEF">
        <w:tc>
          <w:tcPr>
            <w:tcW w:w="9576" w:type="dxa"/>
          </w:tcPr>
          <w:p w:rsidR="009E5F3C" w:rsidRPr="00CA07DB" w:rsidRDefault="009E5F3C" w:rsidP="009E5F3C">
            <w:pPr>
              <w:rPr>
                <w:b/>
              </w:rPr>
            </w:pPr>
            <w:r w:rsidRPr="00CA07DB">
              <w:rPr>
                <w:b/>
              </w:rPr>
              <w:t>Name:</w:t>
            </w:r>
          </w:p>
        </w:tc>
      </w:tr>
      <w:tr w:rsidR="009E5F3C" w:rsidTr="00292BEF">
        <w:sdt>
          <w:sdtPr>
            <w:id w:val="-1616523060"/>
            <w:placeholder>
              <w:docPart w:val="02972703BAF4453BA63C937D54134515"/>
            </w:placeholder>
          </w:sdtPr>
          <w:sdtEndPr/>
          <w:sdtContent>
            <w:tc>
              <w:tcPr>
                <w:tcW w:w="9576" w:type="dxa"/>
              </w:tcPr>
              <w:p w:rsidR="009E5F3C" w:rsidRDefault="00A13F03" w:rsidP="00AD0B2B">
                <w:r>
                  <w:t>Wasef Mahmoud</w:t>
                </w:r>
              </w:p>
            </w:tc>
          </w:sdtContent>
        </w:sdt>
      </w:tr>
      <w:tr w:rsidR="009E5F3C" w:rsidTr="00292BEF">
        <w:tc>
          <w:tcPr>
            <w:tcW w:w="9576" w:type="dxa"/>
          </w:tcPr>
          <w:p w:rsidR="009E5F3C" w:rsidRPr="00CA07DB" w:rsidRDefault="009E5F3C" w:rsidP="00292BEF">
            <w:pPr>
              <w:rPr>
                <w:b/>
              </w:rPr>
            </w:pPr>
            <w:r>
              <w:rPr>
                <w:b/>
              </w:rPr>
              <w:t>Group</w:t>
            </w:r>
            <w:r w:rsidRPr="00CA07DB">
              <w:rPr>
                <w:b/>
              </w:rPr>
              <w:t>:</w:t>
            </w:r>
          </w:p>
        </w:tc>
      </w:tr>
      <w:tr w:rsidR="009E5F3C" w:rsidTr="00292BEF">
        <w:sdt>
          <w:sdtPr>
            <w:id w:val="-1249565243"/>
            <w:placeholder>
              <w:docPart w:val="6CE4961570204F4694FFE78BC98DD887"/>
            </w:placeholder>
          </w:sdtPr>
          <w:sdtEndPr/>
          <w:sdtContent>
            <w:tc>
              <w:tcPr>
                <w:tcW w:w="9576" w:type="dxa"/>
              </w:tcPr>
              <w:p w:rsidR="009E5F3C" w:rsidRDefault="007B4040" w:rsidP="00CA07DB">
                <w:r>
                  <w:t>5A-2</w:t>
                </w:r>
              </w:p>
            </w:tc>
          </w:sdtContent>
        </w:sdt>
      </w:tr>
      <w:tr w:rsidR="009E5F3C" w:rsidTr="00292BEF">
        <w:tc>
          <w:tcPr>
            <w:tcW w:w="9576" w:type="dxa"/>
          </w:tcPr>
          <w:p w:rsidR="009E5F3C" w:rsidRPr="00CA07DB" w:rsidRDefault="009E5F3C" w:rsidP="009E5F3C">
            <w:pPr>
              <w:rPr>
                <w:b/>
              </w:rPr>
            </w:pPr>
            <w:r>
              <w:rPr>
                <w:b/>
              </w:rPr>
              <w:t>Basic Science Question</w:t>
            </w:r>
            <w:r w:rsidRPr="00CA07DB">
              <w:rPr>
                <w:b/>
              </w:rPr>
              <w:t>:</w:t>
            </w:r>
          </w:p>
        </w:tc>
      </w:tr>
      <w:tr w:rsidR="009E5F3C" w:rsidTr="00292BEF">
        <w:sdt>
          <w:sdtPr>
            <w:id w:val="1729411323"/>
            <w:placeholder>
              <w:docPart w:val="C2815E99CDA84C31B81ABC34C42C3183"/>
            </w:placeholder>
          </w:sdtPr>
          <w:sdtEndPr/>
          <w:sdtContent>
            <w:tc>
              <w:tcPr>
                <w:tcW w:w="9576" w:type="dxa"/>
              </w:tcPr>
              <w:p w:rsidR="009E5F3C" w:rsidRPr="007B4040" w:rsidRDefault="007B4040" w:rsidP="007B4040">
                <w:pPr>
                  <w:widowControl/>
                  <w:rPr>
                    <w:snapToGrid/>
                  </w:rPr>
                </w:pPr>
                <w:r>
                  <w:rPr>
                    <w:rFonts w:ascii="Arial" w:hAnsi="Arial" w:cs="Arial"/>
                    <w:color w:val="544C49"/>
                    <w:sz w:val="21"/>
                    <w:szCs w:val="21"/>
                    <w:shd w:val="clear" w:color="auto" w:fill="FFFFFF"/>
                  </w:rPr>
                  <w:t>What are the main stages of Odontogenesis?</w:t>
                </w:r>
              </w:p>
            </w:tc>
          </w:sdtContent>
        </w:sdt>
      </w:tr>
      <w:tr w:rsidR="009E5F3C" w:rsidTr="00292BEF">
        <w:tc>
          <w:tcPr>
            <w:tcW w:w="9576" w:type="dxa"/>
          </w:tcPr>
          <w:p w:rsidR="009E5F3C" w:rsidRPr="00CA07DB" w:rsidRDefault="009E5F3C" w:rsidP="00292BEF">
            <w:pPr>
              <w:rPr>
                <w:b/>
              </w:rPr>
            </w:pPr>
            <w:r>
              <w:rPr>
                <w:b/>
              </w:rPr>
              <w:t>Report</w:t>
            </w:r>
            <w:r w:rsidRPr="00CA07DB">
              <w:rPr>
                <w:b/>
              </w:rPr>
              <w:t>:</w:t>
            </w:r>
          </w:p>
        </w:tc>
      </w:tr>
      <w:tr w:rsidR="009E5F3C" w:rsidTr="00292BEF">
        <w:sdt>
          <w:sdtPr>
            <w:id w:val="-343781582"/>
            <w:placeholder>
              <w:docPart w:val="2F8D231325654E9AB46B3D49F60F909D"/>
            </w:placeholder>
          </w:sdtPr>
          <w:sdtEndPr/>
          <w:sdtContent>
            <w:tc>
              <w:tcPr>
                <w:tcW w:w="9576" w:type="dxa"/>
              </w:tcPr>
              <w:sdt>
                <w:sdtPr>
                  <w:rPr>
                    <w:rFonts w:ascii="Times" w:hAnsi="Times"/>
                  </w:rPr>
                  <w:id w:val="-318342126"/>
                  <w:placeholder>
                    <w:docPart w:val="195C44D64629254A8BF83B7A9C030B61"/>
                  </w:placeholder>
                </w:sdtPr>
                <w:sdtContent>
                  <w:p w:rsidR="00A13F03" w:rsidRPr="003E2183" w:rsidRDefault="00A13F03" w:rsidP="00A13F03">
                    <w:pPr>
                      <w:spacing w:line="276" w:lineRule="auto"/>
                      <w:ind w:firstLine="720"/>
                      <w:rPr>
                        <w:rFonts w:ascii="Times" w:hAnsi="Times" w:cs="Arial"/>
                        <w:sz w:val="22"/>
                        <w:szCs w:val="18"/>
                      </w:rPr>
                    </w:pPr>
                    <w:r w:rsidRPr="003E2183">
                      <w:rPr>
                        <w:rFonts w:ascii="Times" w:hAnsi="Times" w:cs="Arial"/>
                        <w:sz w:val="22"/>
                        <w:szCs w:val="18"/>
                      </w:rPr>
                      <w:t xml:space="preserve">Odontogenesis, also known as tooth development, is “the processes of tooth formation, eruption and its integration with the supporting periodontal tissues, and the circulatory and nervous systems” (Kwon, et. al, 2018). The physiological process is continuous until finished, but the timing of stages can vary. Humans develop two sets of dentitions in a lifetime. The first is known as the deciduous dentition and it is gradually replaced by the permanent dentition. They both undergo the same developmental process. One of the many functions of teeth is to withstand biting forces and to chew food, which is reflected in the heavily coordinated signaling and cell mediated pathways of a tooth’s development.  </w:t>
                    </w:r>
                  </w:p>
                  <w:p w:rsidR="00A13F03" w:rsidRPr="003E2183" w:rsidRDefault="00A13F03" w:rsidP="00A13F03">
                    <w:pPr>
                      <w:spacing w:line="276" w:lineRule="auto"/>
                      <w:ind w:firstLine="720"/>
                      <w:rPr>
                        <w:rFonts w:ascii="Times" w:hAnsi="Times" w:cs="Arial"/>
                        <w:sz w:val="22"/>
                        <w:szCs w:val="18"/>
                      </w:rPr>
                    </w:pPr>
                    <w:r w:rsidRPr="003E2183">
                      <w:rPr>
                        <w:rFonts w:ascii="Times" w:hAnsi="Times" w:cs="Arial"/>
                        <w:sz w:val="22"/>
                        <w:szCs w:val="18"/>
                      </w:rPr>
                      <w:t xml:space="preserve">The first stage, initiation, occurs at the sixth to seventh week, and involves the process of induction. The ectoderm lining the stomodeum, which develops later into the mouth, gives rise to the oral epithelium and then to the dental lamina, under the influence of the neural crest cells (Kwon, et. al, 2018).  The “dental lamina is where the future tooth germs will form” (Kwon, et. al 2018). The second stage, known as the budding stage, occurs at the eighth week. It involves the process of proliferation of the dental lamina into a bud shape that penetrates growing ectomesenchyme. </w:t>
                    </w:r>
                  </w:p>
                  <w:p w:rsidR="00A13F03" w:rsidRPr="003E2183" w:rsidRDefault="00A13F03" w:rsidP="00A13F03">
                    <w:pPr>
                      <w:spacing w:line="276" w:lineRule="auto"/>
                      <w:ind w:firstLine="720"/>
                      <w:rPr>
                        <w:rFonts w:ascii="Times" w:hAnsi="Times" w:cs="Arial"/>
                        <w:sz w:val="22"/>
                        <w:szCs w:val="18"/>
                      </w:rPr>
                    </w:pPr>
                    <w:r w:rsidRPr="003E2183">
                      <w:rPr>
                        <w:rFonts w:ascii="Times" w:hAnsi="Times" w:cs="Arial"/>
                        <w:sz w:val="22"/>
                        <w:szCs w:val="18"/>
                      </w:rPr>
                      <w:t>The third stage, known as the cap stage, occurs at the ninth to tenth week. It involves the ectomesenchyme forming the soft tissue germ into an enamel organ cap shape surrounded by dental papilla, with an outside mass of dental sac. One of the cell types involved is “ameloblasts that make the enamel of the tooth” (Kwon, et. al, 2018). This is followed up by the fourth stage, the bell stage, at the eleventh to twelfth week. It involves the processes of differentiation of the enamel organ into a bell shape that encases the dental papilla with various cell types. The fifth stage, apposition, varies per tooth and involves the processes of induction and proliferation of dental tissue types, including enamel, dentin, and cementum. This is secreted in successive layers by ameloblasts and odontoblasts as matrixes (Kwon, et. al, 2018). The sixth stage also varies per tooth and involves the maturation of the dental tissue through mineralization. Overall, average expected age of</w:t>
                    </w:r>
                    <w:r w:rsidR="00435569">
                      <w:rPr>
                        <w:rFonts w:ascii="Times" w:hAnsi="Times" w:cs="Arial"/>
                        <w:sz w:val="22"/>
                        <w:szCs w:val="18"/>
                      </w:rPr>
                      <w:t xml:space="preserve"> </w:t>
                    </w:r>
                    <w:r w:rsidRPr="003E2183">
                      <w:rPr>
                        <w:rFonts w:ascii="Times" w:hAnsi="Times" w:cs="Arial"/>
                        <w:sz w:val="22"/>
                        <w:szCs w:val="18"/>
                      </w:rPr>
                      <w:t>eruption</w:t>
                    </w:r>
                    <w:r w:rsidR="00435569">
                      <w:rPr>
                        <w:rFonts w:ascii="Times" w:hAnsi="Times" w:cs="Arial"/>
                        <w:sz w:val="22"/>
                        <w:szCs w:val="18"/>
                      </w:rPr>
                      <w:t xml:space="preserve"> of the completed permanent dentition</w:t>
                    </w:r>
                    <w:r w:rsidRPr="003E2183">
                      <w:rPr>
                        <w:rFonts w:ascii="Times" w:hAnsi="Times" w:cs="Arial"/>
                        <w:sz w:val="22"/>
                        <w:szCs w:val="18"/>
                      </w:rPr>
                      <w:t xml:space="preserve">, excluding third molars, is 12-13 years of age (Chaitanya, et. al 2018). </w:t>
                    </w:r>
                  </w:p>
                  <w:p w:rsidR="009E5F3C" w:rsidRPr="00A13F03" w:rsidRDefault="00A13F03" w:rsidP="00A13F03">
                    <w:pPr>
                      <w:widowControl/>
                      <w:jc w:val="center"/>
                      <w:rPr>
                        <w:rFonts w:ascii="Times" w:hAnsi="Times"/>
                      </w:rPr>
                    </w:pPr>
                  </w:p>
                </w:sdtContent>
              </w:sdt>
            </w:tc>
          </w:sdtContent>
        </w:sdt>
      </w:tr>
      <w:tr w:rsidR="009E5F3C" w:rsidTr="00292BEF">
        <w:tc>
          <w:tcPr>
            <w:tcW w:w="9576" w:type="dxa"/>
          </w:tcPr>
          <w:p w:rsidR="009E5F3C" w:rsidRPr="00CA07DB" w:rsidRDefault="009E5F3C" w:rsidP="009E5F3C">
            <w:pPr>
              <w:rPr>
                <w:b/>
              </w:rPr>
            </w:pPr>
            <w:r w:rsidRPr="00CA07DB">
              <w:rPr>
                <w:b/>
              </w:rPr>
              <w:t>R</w:t>
            </w:r>
            <w:r>
              <w:rPr>
                <w:b/>
              </w:rPr>
              <w:t>eferences</w:t>
            </w:r>
            <w:r w:rsidRPr="00CA07DB">
              <w:rPr>
                <w:b/>
              </w:rPr>
              <w:t>:</w:t>
            </w:r>
          </w:p>
        </w:tc>
      </w:tr>
      <w:tr w:rsidR="009E5F3C" w:rsidTr="00292BEF">
        <w:sdt>
          <w:sdtPr>
            <w:id w:val="212933590"/>
            <w:placeholder>
              <w:docPart w:val="C4991867720F49C19930584789DA5267"/>
            </w:placeholder>
          </w:sdtPr>
          <w:sdtEndPr>
            <w:rPr>
              <w:snapToGrid/>
              <w:szCs w:val="24"/>
            </w:rPr>
          </w:sdtEndPr>
          <w:sdtContent>
            <w:tc>
              <w:tcPr>
                <w:tcW w:w="9576" w:type="dxa"/>
              </w:tcPr>
              <w:sdt>
                <w:sdtPr>
                  <w:id w:val="15196588"/>
                  <w:placeholder>
                    <w:docPart w:val="77670829D9633A4CAEBE73335CB0DF82"/>
                  </w:placeholder>
                </w:sdtPr>
                <w:sdtEndPr>
                  <w:rPr>
                    <w:snapToGrid/>
                    <w:szCs w:val="24"/>
                  </w:rPr>
                </w:sdtEndPr>
                <w:sdtContent>
                  <w:sdt>
                    <w:sdtPr>
                      <w:id w:val="-1271852866"/>
                      <w:placeholder>
                        <w:docPart w:val="01473C4252D0664EB8804302DBEAC55A"/>
                      </w:placeholder>
                    </w:sdtPr>
                    <w:sdtEndPr>
                      <w:rPr>
                        <w:rFonts w:ascii="Times" w:hAnsi="Times"/>
                        <w:snapToGrid/>
                        <w:szCs w:val="24"/>
                      </w:rPr>
                    </w:sdtEndPr>
                    <w:sdtContent>
                      <w:p w:rsidR="00A13F03" w:rsidRPr="003E2183" w:rsidRDefault="00A13F03" w:rsidP="00A13F03">
                        <w:pPr>
                          <w:widowControl/>
                          <w:rPr>
                            <w:rFonts w:ascii="Times" w:hAnsi="Times" w:cs="Arial"/>
                            <w:snapToGrid/>
                            <w:sz w:val="22"/>
                            <w:szCs w:val="22"/>
                          </w:rPr>
                        </w:pPr>
                        <w:r w:rsidRPr="003E2183">
                          <w:rPr>
                            <w:rFonts w:ascii="Times" w:hAnsi="Times" w:cs="Arial"/>
                            <w:sz w:val="22"/>
                            <w:szCs w:val="22"/>
                            <w:shd w:val="clear" w:color="auto" w:fill="FFFFFF"/>
                          </w:rPr>
                          <w:t xml:space="preserve">Chaitanya, </w:t>
                        </w:r>
                        <w:proofErr w:type="spellStart"/>
                        <w:r w:rsidRPr="003E2183">
                          <w:rPr>
                            <w:rFonts w:ascii="Times" w:hAnsi="Times" w:cs="Arial"/>
                            <w:sz w:val="22"/>
                            <w:szCs w:val="22"/>
                            <w:shd w:val="clear" w:color="auto" w:fill="FFFFFF"/>
                          </w:rPr>
                          <w:t>Penmatsa</w:t>
                        </w:r>
                        <w:proofErr w:type="spellEnd"/>
                        <w:r w:rsidRPr="003E2183">
                          <w:rPr>
                            <w:rFonts w:ascii="Times" w:hAnsi="Times" w:cs="Arial"/>
                            <w:sz w:val="22"/>
                            <w:szCs w:val="22"/>
                            <w:shd w:val="clear" w:color="auto" w:fill="FFFFFF"/>
                          </w:rPr>
                          <w:t xml:space="preserve"> et al. “Time and Eruption Sequence of Permanent Teeth in Hyderabad Children: A Descriptive Cross-sectional Study.”</w:t>
                        </w:r>
                        <w:r w:rsidRPr="003E2183">
                          <w:rPr>
                            <w:rStyle w:val="apple-converted-space"/>
                            <w:rFonts w:ascii="Times" w:hAnsi="Times" w:cs="Arial"/>
                            <w:sz w:val="22"/>
                            <w:szCs w:val="22"/>
                            <w:shd w:val="clear" w:color="auto" w:fill="FFFFFF"/>
                          </w:rPr>
                          <w:t> </w:t>
                        </w:r>
                        <w:r w:rsidRPr="003E2183">
                          <w:rPr>
                            <w:rFonts w:ascii="Times" w:hAnsi="Times" w:cs="Arial"/>
                            <w:i/>
                            <w:iCs/>
                            <w:sz w:val="22"/>
                            <w:szCs w:val="22"/>
                          </w:rPr>
                          <w:t>International journal of clinical pediatric dentistry</w:t>
                        </w:r>
                        <w:r w:rsidRPr="003E2183">
                          <w:rPr>
                            <w:rStyle w:val="apple-converted-space"/>
                            <w:rFonts w:ascii="Times" w:hAnsi="Times" w:cs="Arial"/>
                            <w:sz w:val="22"/>
                            <w:szCs w:val="22"/>
                            <w:shd w:val="clear" w:color="auto" w:fill="FFFFFF"/>
                          </w:rPr>
                          <w:t> </w:t>
                        </w:r>
                        <w:r w:rsidRPr="003E2183">
                          <w:rPr>
                            <w:rFonts w:ascii="Times" w:hAnsi="Times" w:cs="Arial"/>
                            <w:sz w:val="22"/>
                            <w:szCs w:val="22"/>
                            <w:shd w:val="clear" w:color="auto" w:fill="FFFFFF"/>
                          </w:rPr>
                          <w:t>vol. 11,4 (2018): 330-337. doi:10.5005/jp-journals-10005-1534</w:t>
                        </w:r>
                      </w:p>
                      <w:p w:rsidR="00A13F03" w:rsidRPr="003E2183" w:rsidRDefault="00A13F03" w:rsidP="00A13F03">
                        <w:pPr>
                          <w:rPr>
                            <w:rFonts w:ascii="Times" w:hAnsi="Times" w:cs="Arial"/>
                            <w:sz w:val="22"/>
                            <w:szCs w:val="22"/>
                            <w:u w:val="single"/>
                          </w:rPr>
                        </w:pPr>
                      </w:p>
                      <w:p w:rsidR="009E5F3C" w:rsidRPr="00A13F03" w:rsidRDefault="00A13F03" w:rsidP="00A13F03">
                        <w:pPr>
                          <w:pStyle w:val="NormalWeb"/>
                          <w:ind w:left="567" w:hanging="567"/>
                          <w:rPr>
                            <w:rFonts w:ascii="Times" w:hAnsi="Times"/>
                          </w:rPr>
                        </w:pPr>
                        <w:r w:rsidRPr="003E2183">
                          <w:rPr>
                            <w:rFonts w:ascii="Times" w:hAnsi="Times" w:cs="Arial"/>
                            <w:sz w:val="22"/>
                            <w:szCs w:val="22"/>
                          </w:rPr>
                          <w:t xml:space="preserve">Kwon, Hyuk-Jae Edward, and </w:t>
                        </w:r>
                        <w:proofErr w:type="spellStart"/>
                        <w:r w:rsidRPr="003E2183">
                          <w:rPr>
                            <w:rFonts w:ascii="Times" w:hAnsi="Times" w:cs="Arial"/>
                            <w:sz w:val="22"/>
                            <w:szCs w:val="22"/>
                          </w:rPr>
                          <w:t>Rulang</w:t>
                        </w:r>
                        <w:proofErr w:type="spellEnd"/>
                        <w:r w:rsidRPr="003E2183">
                          <w:rPr>
                            <w:rFonts w:ascii="Times" w:hAnsi="Times" w:cs="Arial"/>
                            <w:sz w:val="22"/>
                            <w:szCs w:val="22"/>
                          </w:rPr>
                          <w:t xml:space="preserve"> Jiang. “Development of Teeth.”</w:t>
                        </w:r>
                        <w:r w:rsidRPr="003E2183">
                          <w:rPr>
                            <w:rStyle w:val="apple-converted-space"/>
                            <w:rFonts w:ascii="Times" w:hAnsi="Times" w:cs="Arial"/>
                            <w:sz w:val="22"/>
                            <w:szCs w:val="22"/>
                          </w:rPr>
                          <w:t> </w:t>
                        </w:r>
                        <w:r w:rsidRPr="003E2183">
                          <w:rPr>
                            <w:rFonts w:ascii="Times" w:hAnsi="Times" w:cs="Arial"/>
                            <w:i/>
                            <w:iCs/>
                            <w:sz w:val="22"/>
                            <w:szCs w:val="22"/>
                          </w:rPr>
                          <w:t>Reference Module in Biomedical Sciences</w:t>
                        </w:r>
                        <w:r w:rsidRPr="003E2183">
                          <w:rPr>
                            <w:rFonts w:ascii="Times" w:hAnsi="Times" w:cs="Arial"/>
                            <w:sz w:val="22"/>
                            <w:szCs w:val="22"/>
                          </w:rPr>
                          <w:t>, 9 Feb. 2018, doi:10.1016/b978-0-12-801238-3.64113-2.</w:t>
                        </w:r>
                      </w:p>
                    </w:sdtContent>
                  </w:sdt>
                </w:sdtContent>
              </w:sdt>
            </w:tc>
          </w:sdtContent>
        </w:sdt>
      </w:tr>
    </w:tbl>
    <w:p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00E20" w:rsidRDefault="00500E20" w:rsidP="00292BEF">
      <w:r>
        <w:separator/>
      </w:r>
    </w:p>
  </w:endnote>
  <w:endnote w:type="continuationSeparator" w:id="0">
    <w:p w:rsidR="00500E20" w:rsidRDefault="00500E20"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00E20" w:rsidRDefault="00500E20" w:rsidP="00292BEF">
      <w:r>
        <w:separator/>
      </w:r>
    </w:p>
  </w:footnote>
  <w:footnote w:type="continuationSeparator" w:id="0">
    <w:p w:rsidR="00500E20" w:rsidRDefault="00500E20"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D1 Basic Science</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1B84"/>
    <w:rsid w:val="00036D78"/>
    <w:rsid w:val="000A3A25"/>
    <w:rsid w:val="00194591"/>
    <w:rsid w:val="001A30A2"/>
    <w:rsid w:val="002223D1"/>
    <w:rsid w:val="00246C4B"/>
    <w:rsid w:val="00292BEF"/>
    <w:rsid w:val="003440A0"/>
    <w:rsid w:val="00435569"/>
    <w:rsid w:val="004851BE"/>
    <w:rsid w:val="00500E20"/>
    <w:rsid w:val="0059739C"/>
    <w:rsid w:val="006B50F8"/>
    <w:rsid w:val="00744147"/>
    <w:rsid w:val="00747071"/>
    <w:rsid w:val="0074726E"/>
    <w:rsid w:val="007B4040"/>
    <w:rsid w:val="007B6610"/>
    <w:rsid w:val="00827E9C"/>
    <w:rsid w:val="00902AC6"/>
    <w:rsid w:val="009135E0"/>
    <w:rsid w:val="00985FAD"/>
    <w:rsid w:val="009D7C91"/>
    <w:rsid w:val="009E5F3C"/>
    <w:rsid w:val="00A13F03"/>
    <w:rsid w:val="00A45983"/>
    <w:rsid w:val="00AC5BCC"/>
    <w:rsid w:val="00B50056"/>
    <w:rsid w:val="00CA07DB"/>
    <w:rsid w:val="00CA1BEB"/>
    <w:rsid w:val="00CB0EC3"/>
    <w:rsid w:val="00DF1FAB"/>
    <w:rsid w:val="00F3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9DBFC"/>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character" w:styleId="Hyperlink">
    <w:name w:val="Hyperlink"/>
    <w:basedOn w:val="DefaultParagraphFont"/>
    <w:uiPriority w:val="99"/>
    <w:unhideWhenUsed/>
    <w:locked/>
    <w:rsid w:val="00194591"/>
    <w:rPr>
      <w:color w:val="0000FF" w:themeColor="hyperlink"/>
      <w:u w:val="single"/>
    </w:rPr>
  </w:style>
  <w:style w:type="character" w:styleId="UnresolvedMention">
    <w:name w:val="Unresolved Mention"/>
    <w:basedOn w:val="DefaultParagraphFont"/>
    <w:uiPriority w:val="99"/>
    <w:semiHidden/>
    <w:unhideWhenUsed/>
    <w:rsid w:val="00194591"/>
    <w:rPr>
      <w:color w:val="605E5C"/>
      <w:shd w:val="clear" w:color="auto" w:fill="E1DFDD"/>
    </w:rPr>
  </w:style>
  <w:style w:type="character" w:styleId="FollowedHyperlink">
    <w:name w:val="FollowedHyperlink"/>
    <w:basedOn w:val="DefaultParagraphFont"/>
    <w:uiPriority w:val="99"/>
    <w:semiHidden/>
    <w:unhideWhenUsed/>
    <w:locked/>
    <w:rsid w:val="00CB0EC3"/>
    <w:rPr>
      <w:color w:val="800080" w:themeColor="followedHyperlink"/>
      <w:u w:val="single"/>
    </w:rPr>
  </w:style>
  <w:style w:type="character" w:customStyle="1" w:styleId="apple-converted-space">
    <w:name w:val="apple-converted-space"/>
    <w:basedOn w:val="DefaultParagraphFont"/>
    <w:rsid w:val="004851BE"/>
  </w:style>
  <w:style w:type="paragraph" w:styleId="NormalWeb">
    <w:name w:val="Normal (Web)"/>
    <w:basedOn w:val="Normal"/>
    <w:uiPriority w:val="99"/>
    <w:unhideWhenUsed/>
    <w:locked/>
    <w:rsid w:val="004851BE"/>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093231">
      <w:bodyDiv w:val="1"/>
      <w:marLeft w:val="0"/>
      <w:marRight w:val="0"/>
      <w:marTop w:val="0"/>
      <w:marBottom w:val="0"/>
      <w:divBdr>
        <w:top w:val="none" w:sz="0" w:space="0" w:color="auto"/>
        <w:left w:val="none" w:sz="0" w:space="0" w:color="auto"/>
        <w:bottom w:val="none" w:sz="0" w:space="0" w:color="auto"/>
        <w:right w:val="none" w:sz="0" w:space="0" w:color="auto"/>
      </w:divBdr>
    </w:div>
    <w:div w:id="1268659606">
      <w:bodyDiv w:val="1"/>
      <w:marLeft w:val="0"/>
      <w:marRight w:val="0"/>
      <w:marTop w:val="0"/>
      <w:marBottom w:val="0"/>
      <w:divBdr>
        <w:top w:val="none" w:sz="0" w:space="0" w:color="auto"/>
        <w:left w:val="none" w:sz="0" w:space="0" w:color="auto"/>
        <w:bottom w:val="none" w:sz="0" w:space="0" w:color="auto"/>
        <w:right w:val="none" w:sz="0" w:space="0" w:color="auto"/>
      </w:divBdr>
    </w:div>
    <w:div w:id="1308432852">
      <w:bodyDiv w:val="1"/>
      <w:marLeft w:val="0"/>
      <w:marRight w:val="0"/>
      <w:marTop w:val="0"/>
      <w:marBottom w:val="0"/>
      <w:divBdr>
        <w:top w:val="none" w:sz="0" w:space="0" w:color="auto"/>
        <w:left w:val="none" w:sz="0" w:space="0" w:color="auto"/>
        <w:bottom w:val="none" w:sz="0" w:space="0" w:color="auto"/>
        <w:right w:val="none" w:sz="0" w:space="0" w:color="auto"/>
      </w:divBdr>
    </w:div>
    <w:div w:id="1465001265">
      <w:bodyDiv w:val="1"/>
      <w:marLeft w:val="0"/>
      <w:marRight w:val="0"/>
      <w:marTop w:val="0"/>
      <w:marBottom w:val="0"/>
      <w:divBdr>
        <w:top w:val="none" w:sz="0" w:space="0" w:color="auto"/>
        <w:left w:val="none" w:sz="0" w:space="0" w:color="auto"/>
        <w:bottom w:val="none" w:sz="0" w:space="0" w:color="auto"/>
        <w:right w:val="none" w:sz="0" w:space="0" w:color="auto"/>
      </w:divBdr>
    </w:div>
    <w:div w:id="185487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
      <w:docPartPr>
        <w:name w:val="77670829D9633A4CAEBE73335CB0DF82"/>
        <w:category>
          <w:name w:val="General"/>
          <w:gallery w:val="placeholder"/>
        </w:category>
        <w:types>
          <w:type w:val="bbPlcHdr"/>
        </w:types>
        <w:behaviors>
          <w:behavior w:val="content"/>
        </w:behaviors>
        <w:guid w:val="{B5F7B09D-49C7-4A45-81BF-AF4155242D9A}"/>
      </w:docPartPr>
      <w:docPartBody>
        <w:p w:rsidR="00000000" w:rsidRDefault="005D232F" w:rsidP="005D232F">
          <w:pPr>
            <w:pStyle w:val="77670829D9633A4CAEBE73335CB0DF82"/>
          </w:pPr>
          <w:r w:rsidRPr="00D938D9">
            <w:rPr>
              <w:rStyle w:val="PlaceholderText"/>
            </w:rPr>
            <w:t>Click here to enter text.</w:t>
          </w:r>
        </w:p>
      </w:docPartBody>
    </w:docPart>
    <w:docPart>
      <w:docPartPr>
        <w:name w:val="195C44D64629254A8BF83B7A9C030B61"/>
        <w:category>
          <w:name w:val="General"/>
          <w:gallery w:val="placeholder"/>
        </w:category>
        <w:types>
          <w:type w:val="bbPlcHdr"/>
        </w:types>
        <w:behaviors>
          <w:behavior w:val="content"/>
        </w:behaviors>
        <w:guid w:val="{BBD6B9AC-12F7-BC4F-909E-714FE696C7AA}"/>
      </w:docPartPr>
      <w:docPartBody>
        <w:p w:rsidR="00000000" w:rsidRDefault="005D232F" w:rsidP="005D232F">
          <w:pPr>
            <w:pStyle w:val="195C44D64629254A8BF83B7A9C030B61"/>
          </w:pPr>
          <w:r w:rsidRPr="00D938D9">
            <w:rPr>
              <w:rStyle w:val="PlaceholderText"/>
            </w:rPr>
            <w:t>Click here to enter text.</w:t>
          </w:r>
        </w:p>
      </w:docPartBody>
    </w:docPart>
    <w:docPart>
      <w:docPartPr>
        <w:name w:val="01473C4252D0664EB8804302DBEAC55A"/>
        <w:category>
          <w:name w:val="General"/>
          <w:gallery w:val="placeholder"/>
        </w:category>
        <w:types>
          <w:type w:val="bbPlcHdr"/>
        </w:types>
        <w:behaviors>
          <w:behavior w:val="content"/>
        </w:behaviors>
        <w:guid w:val="{102DE876-0776-0F4F-998A-92FDB241B287}"/>
      </w:docPartPr>
      <w:docPartBody>
        <w:p w:rsidR="00000000" w:rsidRDefault="005D232F" w:rsidP="005D232F">
          <w:pPr>
            <w:pStyle w:val="01473C4252D0664EB8804302DBEAC55A"/>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F217F"/>
    <w:rsid w:val="00347B69"/>
    <w:rsid w:val="0047423F"/>
    <w:rsid w:val="005D232F"/>
    <w:rsid w:val="0064749E"/>
    <w:rsid w:val="008806B5"/>
    <w:rsid w:val="009D0B7E"/>
    <w:rsid w:val="00E02A4D"/>
    <w:rsid w:val="00FE2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232F"/>
    <w:rPr>
      <w:color w:val="80808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 w:type="paragraph" w:customStyle="1" w:styleId="77670829D9633A4CAEBE73335CB0DF82">
    <w:name w:val="77670829D9633A4CAEBE73335CB0DF82"/>
    <w:rsid w:val="005D232F"/>
    <w:pPr>
      <w:spacing w:after="0" w:line="240" w:lineRule="auto"/>
    </w:pPr>
    <w:rPr>
      <w:sz w:val="24"/>
      <w:szCs w:val="24"/>
    </w:rPr>
  </w:style>
  <w:style w:type="paragraph" w:customStyle="1" w:styleId="195C44D64629254A8BF83B7A9C030B61">
    <w:name w:val="195C44D64629254A8BF83B7A9C030B61"/>
    <w:rsid w:val="005D232F"/>
    <w:pPr>
      <w:spacing w:after="0" w:line="240" w:lineRule="auto"/>
    </w:pPr>
    <w:rPr>
      <w:sz w:val="24"/>
      <w:szCs w:val="24"/>
    </w:rPr>
  </w:style>
  <w:style w:type="paragraph" w:customStyle="1" w:styleId="01473C4252D0664EB8804302DBEAC55A">
    <w:name w:val="01473C4252D0664EB8804302DBEAC55A"/>
    <w:rsid w:val="005D232F"/>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814AE1-36D6-4994-8DCB-F87D46B24B85}">
  <ds:schemaRefs>
    <ds:schemaRef ds:uri="http://schemas.microsoft.com/sharepoint/events"/>
  </ds:schemaRefs>
</ds:datastoreItem>
</file>

<file path=customXml/itemProps2.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4.xml><?xml version="1.0" encoding="utf-8"?>
<ds:datastoreItem xmlns:ds="http://schemas.openxmlformats.org/officeDocument/2006/customXml" ds:itemID="{E5282E64-52C7-4B1C-9BA9-7902B51088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wmahmoud15@gmail.com</cp:lastModifiedBy>
  <cp:revision>9</cp:revision>
  <dcterms:created xsi:type="dcterms:W3CDTF">2020-11-03T02:14:00Z</dcterms:created>
  <dcterms:modified xsi:type="dcterms:W3CDTF">2020-11-05T02:47:00Z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