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E7176C" w:rsidP="00875E38">
                <w:r>
                  <w:t>David M. Donoso</w:t>
                </w:r>
                <w:r>
                  <w:tab/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E7176C" w:rsidP="009F7390">
                <w:r>
                  <w:t>3B-5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E7176C" w:rsidP="00292BEF">
                <w:r>
                  <w:t>How does fluoride affect the enamel structure?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EC1C35" w:rsidRPr="00EC1C35" w:rsidRDefault="00EC1C35" w:rsidP="00EC1C35">
                <w:pPr>
                  <w:autoSpaceDE w:val="0"/>
                  <w:autoSpaceDN w:val="0"/>
                  <w:adjustRightInd w:val="0"/>
                  <w:rPr>
                    <w:rFonts w:eastAsiaTheme="minorHAnsi" w:cstheme="minorHAnsi"/>
                  </w:rPr>
                </w:pPr>
                <w:r>
                  <w:t>Enamel is a</w:t>
                </w:r>
                <w:r w:rsidRPr="00EC1C35">
                  <w:rPr>
                    <w:rFonts w:cstheme="minorHAnsi"/>
                  </w:rPr>
                  <w:t xml:space="preserve"> highly mineralized acellular tissue in which microscopic calcium phosphate crystals comprise some 99% of the dry weight [1]</w:t>
                </w:r>
                <w:r>
                  <w:rPr>
                    <w:rFonts w:cstheme="minorHAnsi"/>
                  </w:rPr>
                  <w:t>. Recall that a m</w:t>
                </w:r>
                <w:r w:rsidRPr="00EC1C35">
                  <w:rPr>
                    <w:rFonts w:cstheme="minorHAnsi"/>
                    <w:b/>
                    <w:bCs/>
                    <w:u w:val="single"/>
                  </w:rPr>
                  <w:t>ineral</w:t>
                </w:r>
                <w:r>
                  <w:rPr>
                    <w:rFonts w:cstheme="minorHAnsi"/>
                    <w:b/>
                    <w:bCs/>
                    <w:u w:val="single"/>
                  </w:rPr>
                  <w:t xml:space="preserve"> is</w:t>
                </w:r>
                <w:r w:rsidRPr="00EC1C35">
                  <w:rPr>
                    <w:rFonts w:cstheme="minorHAnsi"/>
                  </w:rPr>
                  <w:t xml:space="preserve"> a solid inorganic compound of natural occurrence (many different definitions but this one is most appropriate)</w:t>
                </w:r>
                <w:r>
                  <w:rPr>
                    <w:rFonts w:cstheme="minorHAnsi"/>
                  </w:rPr>
                  <w:t>. I</w:t>
                </w:r>
                <w:r w:rsidRPr="00EC1C35">
                  <w:rPr>
                    <w:rFonts w:cstheme="minorHAnsi"/>
                  </w:rPr>
                  <w:t xml:space="preserve">n general, the molecular structure of minerals </w:t>
                </w:r>
                <w:proofErr w:type="gramStart"/>
                <w:r w:rsidRPr="00EC1C35">
                  <w:rPr>
                    <w:rFonts w:cstheme="minorHAnsi"/>
                  </w:rPr>
                  <w:t>are</w:t>
                </w:r>
                <w:proofErr w:type="gramEnd"/>
                <w:r w:rsidRPr="00EC1C35">
                  <w:rPr>
                    <w:rFonts w:cstheme="minorHAnsi"/>
                  </w:rPr>
                  <w:t xml:space="preserve"> crystalline</w:t>
                </w:r>
                <w:r>
                  <w:rPr>
                    <w:rFonts w:cstheme="minorHAnsi"/>
                  </w:rPr>
                  <w:t xml:space="preserve">. </w:t>
                </w:r>
                <w:r w:rsidRPr="00EC1C35">
                  <w:rPr>
                    <w:rFonts w:cstheme="minorHAnsi"/>
                  </w:rPr>
                  <w:t xml:space="preserve">There are four closely related of apatite crystals which constitute the vast majority of </w:t>
                </w:r>
                <w:r>
                  <w:rPr>
                    <w:rFonts w:cstheme="minorHAnsi"/>
                  </w:rPr>
                  <w:t xml:space="preserve">different “flavors” of </w:t>
                </w:r>
                <w:r w:rsidRPr="00EC1C35">
                  <w:rPr>
                    <w:rFonts w:cstheme="minorHAnsi"/>
                  </w:rPr>
                  <w:t>enamel structure [1]</w:t>
                </w:r>
              </w:p>
              <w:p w:rsidR="00EC1C35" w:rsidRPr="00387938" w:rsidRDefault="00EC1C35" w:rsidP="00EC1C35">
                <w:pPr>
                  <w:pStyle w:val="ListParagraph"/>
                  <w:numPr>
                    <w:ilvl w:val="1"/>
                    <w:numId w:val="1"/>
                  </w:num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387938">
                  <w:rPr>
                    <w:rFonts w:cstheme="minorHAnsi"/>
                  </w:rPr>
                  <w:t>Hydroxyapatite (HAP)</w:t>
                </w:r>
              </w:p>
              <w:p w:rsidR="00EC1C35" w:rsidRPr="00387938" w:rsidRDefault="00EC1C35" w:rsidP="00EC1C35">
                <w:pPr>
                  <w:pStyle w:val="ListParagraph"/>
                  <w:numPr>
                    <w:ilvl w:val="1"/>
                    <w:numId w:val="1"/>
                  </w:num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387938">
                  <w:rPr>
                    <w:rFonts w:cstheme="minorHAnsi"/>
                  </w:rPr>
                  <w:t>Carbonated Hydroxyapatite (CHAP)</w:t>
                </w:r>
              </w:p>
              <w:p w:rsidR="00EC1C35" w:rsidRPr="00387938" w:rsidRDefault="00EC1C35" w:rsidP="00EC1C35">
                <w:pPr>
                  <w:pStyle w:val="ListParagraph"/>
                  <w:numPr>
                    <w:ilvl w:val="1"/>
                    <w:numId w:val="1"/>
                  </w:num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387938">
                  <w:rPr>
                    <w:rFonts w:cstheme="minorHAnsi"/>
                  </w:rPr>
                  <w:t>Fluorhydroxapatite</w:t>
                </w:r>
              </w:p>
              <w:p w:rsidR="00EC1C35" w:rsidRDefault="00EC1C35" w:rsidP="00EC1C35">
                <w:pPr>
                  <w:pStyle w:val="ListParagraph"/>
                  <w:numPr>
                    <w:ilvl w:val="1"/>
                    <w:numId w:val="1"/>
                  </w:num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387938">
                  <w:rPr>
                    <w:rFonts w:cstheme="minorHAnsi"/>
                  </w:rPr>
                  <w:t>Fluorapatite</w:t>
                </w:r>
              </w:p>
              <w:p w:rsidR="00EC1C35" w:rsidRPr="00B96DEB" w:rsidRDefault="00EC1C35" w:rsidP="00EC1C35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</w:p>
              <w:p w:rsidR="003D32EE" w:rsidRDefault="00EC1C35" w:rsidP="00EC1C35">
                <w:pPr>
                  <w:autoSpaceDE w:val="0"/>
                  <w:autoSpaceDN w:val="0"/>
                  <w:adjustRightInd w:val="0"/>
                </w:pPr>
                <w:r w:rsidRPr="00EC1C35">
                  <w:rPr>
                    <w:rFonts w:cstheme="minorHAnsi"/>
                  </w:rPr>
                  <w:t>In simple terms we can think of enamel as a mass primarily composed of four different salts that exist in solution (our saliva) inside the oral cavity</w:t>
                </w:r>
                <w:r>
                  <w:rPr>
                    <w:rFonts w:cstheme="minorHAnsi"/>
                  </w:rPr>
                  <w:t xml:space="preserve">. </w:t>
                </w:r>
                <w:r w:rsidRPr="00EC1C35">
                  <w:rPr>
                    <w:rFonts w:cstheme="minorHAnsi"/>
                  </w:rPr>
                  <w:t>The pH of the solution (saliva) varies between acidic (lower pH) or alkaline (higher pH)</w:t>
                </w:r>
                <w:r>
                  <w:rPr>
                    <w:rFonts w:cstheme="minorHAnsi"/>
                  </w:rPr>
                  <w:t xml:space="preserve"> depending on the macro and micro environmental conditions. </w:t>
                </w:r>
                <w:r>
                  <w:t>Le Chatelier’s principle tells us that if</w:t>
                </w:r>
                <w:r>
                  <w:t xml:space="preserve"> a system </w:t>
                </w:r>
                <w:r>
                  <w:t xml:space="preserve">is </w:t>
                </w:r>
                <w:r>
                  <w:t xml:space="preserve">in dynamic equilibrium </w:t>
                </w:r>
                <w:r>
                  <w:t xml:space="preserve">and </w:t>
                </w:r>
                <w:r>
                  <w:t>is</w:t>
                </w:r>
                <w:r>
                  <w:t xml:space="preserve"> then</w:t>
                </w:r>
                <w:r>
                  <w:t xml:space="preserve"> disturbed by changing the conditions the position of the equilibrium </w:t>
                </w:r>
                <w:r>
                  <w:t>will move</w:t>
                </w:r>
                <w:r>
                  <w:t xml:space="preserve"> to counteract </w:t>
                </w:r>
                <w:r>
                  <w:t>the given</w:t>
                </w:r>
                <w:r>
                  <w:t xml:space="preserve"> change [2]. In a more acidic environment enamel is more soluble and therefore </w:t>
                </w:r>
                <w:r>
                  <w:t>exists in a more</w:t>
                </w:r>
                <w:r>
                  <w:t xml:space="preserve"> disassociated</w:t>
                </w:r>
                <w:r>
                  <w:t xml:space="preserve"> or dissolved</w:t>
                </w:r>
                <w:r>
                  <w:t xml:space="preserve"> state</w:t>
                </w:r>
                <w:r>
                  <w:t xml:space="preserve"> (the product side is favored). That is, </w:t>
                </w:r>
                <w:r>
                  <w:t xml:space="preserve">the </w:t>
                </w:r>
                <w:r>
                  <w:t xml:space="preserve">enamel exists in a more demineralized state. </w:t>
                </w:r>
                <w:r w:rsidR="007D3CB0">
                  <w:t xml:space="preserve">Therefore, </w:t>
                </w:r>
                <w:r w:rsidR="003D32EE">
                  <w:t xml:space="preserve">Le Chatelier’s principle allows us to understand the </w:t>
                </w:r>
                <w:r w:rsidR="007D3CB0">
                  <w:t xml:space="preserve">thermodynamic </w:t>
                </w:r>
                <w:r w:rsidR="003D32EE">
                  <w:t xml:space="preserve">function the fluoride ion </w:t>
                </w:r>
                <w:r w:rsidR="007D3CB0">
                  <w:t xml:space="preserve">plays </w:t>
                </w:r>
                <w:r w:rsidR="003D32EE">
                  <w:t>in both demineralization and remineralization of</w:t>
                </w:r>
                <w:r w:rsidR="007D3CB0">
                  <w:t xml:space="preserve"> </w:t>
                </w:r>
                <w:r w:rsidR="003D32EE">
                  <w:t>ename</w:t>
                </w:r>
                <w:r w:rsidR="007D3CB0">
                  <w:t>l</w:t>
                </w:r>
                <w:r w:rsidR="003D32EE">
                  <w:t>.</w:t>
                </w:r>
              </w:p>
              <w:p w:rsidR="00EC1C35" w:rsidRDefault="00EC1C35" w:rsidP="00EC1C35">
                <w:pPr>
                  <w:autoSpaceDE w:val="0"/>
                  <w:autoSpaceDN w:val="0"/>
                  <w:adjustRightInd w:val="0"/>
                </w:pPr>
              </w:p>
              <w:p w:rsidR="00EC1C35" w:rsidRDefault="00EC1C35" w:rsidP="00EC1C35">
                <w:r>
                  <w:t>Let us assume that</w:t>
                </w:r>
                <w:r>
                  <w:t xml:space="preserve"> we disturb the system by </w:t>
                </w:r>
                <w:r w:rsidRPr="009259D0">
                  <w:rPr>
                    <w:color w:val="00B050"/>
                  </w:rPr>
                  <w:t xml:space="preserve">adding </w:t>
                </w:r>
                <w:r>
                  <w:t>fluoride ion (F</w:t>
                </w:r>
                <w:r w:rsidRPr="003E3E8C">
                  <w:rPr>
                    <w:vertAlign w:val="superscript"/>
                  </w:rPr>
                  <w:t>-</w:t>
                </w:r>
                <w:r>
                  <w:t>) to the acidic oral environment</w:t>
                </w:r>
                <w:r>
                  <w:t>. In this way</w:t>
                </w:r>
                <w:r>
                  <w:t xml:space="preserve"> we are adding more F</w:t>
                </w:r>
                <w:r w:rsidRPr="003E3E8C">
                  <w:rPr>
                    <w:vertAlign w:val="superscript"/>
                  </w:rPr>
                  <w:t>-</w:t>
                </w:r>
                <w:r>
                  <w:rPr>
                    <w:vertAlign w:val="superscript"/>
                  </w:rPr>
                  <w:t xml:space="preserve"> </w:t>
                </w:r>
                <w:r>
                  <w:t>to the product</w:t>
                </w:r>
                <w:r w:rsidR="001918B3">
                  <w:t xml:space="preserve"> side of the reaction in dynamic equilibrium </w:t>
                </w:r>
                <w:r>
                  <w:t>and therefore the reaction will move to the left (the reactants side)</w:t>
                </w:r>
                <w:r w:rsidR="001918B3">
                  <w:t>. This</w:t>
                </w:r>
                <w:r>
                  <w:t xml:space="preserve"> is the process of enamel </w:t>
                </w:r>
                <w:r w:rsidRPr="006F1A24">
                  <w:rPr>
                    <w:color w:val="00B050"/>
                  </w:rPr>
                  <w:t>remineralization</w:t>
                </w:r>
                <w:r w:rsidR="001918B3">
                  <w:t xml:space="preserve"> the addition of fluoride ion.</w:t>
                </w:r>
              </w:p>
              <w:p w:rsidR="00EC1C35" w:rsidRDefault="00EC1C35" w:rsidP="00EC1C35"/>
              <w:p w:rsidR="00EC1C35" w:rsidRDefault="00EC1C35" w:rsidP="005C1D70">
                <w:pPr>
                  <w:jc w:val="center"/>
                  <w:rPr>
                    <w:vertAlign w:val="superscript"/>
                  </w:rPr>
                </w:pPr>
                <w:r>
                  <w:t>Ca</w:t>
                </w:r>
                <w:r w:rsidRPr="0071243A">
                  <w:rPr>
                    <w:szCs w:val="24"/>
                    <w:vertAlign w:val="subscript"/>
                  </w:rPr>
                  <w:t>10</w:t>
                </w:r>
                <w:r>
                  <w:t>(PO</w:t>
                </w:r>
                <w:r w:rsidRPr="0071243A">
                  <w:rPr>
                    <w:szCs w:val="24"/>
                    <w:vertAlign w:val="subscript"/>
                  </w:rPr>
                  <w:t>4</w:t>
                </w:r>
                <w:r>
                  <w:t>)</w:t>
                </w:r>
                <w:r w:rsidRPr="0071243A">
                  <w:rPr>
                    <w:szCs w:val="24"/>
                    <w:vertAlign w:val="subscript"/>
                  </w:rPr>
                  <w:t>6</w:t>
                </w:r>
                <w:r>
                  <w:t xml:space="preserve">(OH)F    </w:t>
                </w:r>
                <m:oMath>
                  <m:r>
                    <w:rPr>
                      <w:rFonts w:ascii="Cambria Math" w:hAnsi="Cambria Math"/>
                    </w:rPr>
                    <m:t>⇌</m:t>
                  </m:r>
                </m:oMath>
                <w:r>
                  <w:rPr>
                    <w:rFonts w:eastAsiaTheme="minorEastAsia"/>
                  </w:rPr>
                  <w:t xml:space="preserve">    </w:t>
                </w:r>
                <w:r w:rsidRPr="009259D0">
                  <w:rPr>
                    <w:rFonts w:eastAsiaTheme="minorEastAsia"/>
                    <w:szCs w:val="24"/>
                  </w:rPr>
                  <w:t xml:space="preserve">10 </w:t>
                </w:r>
                <w:r w:rsidRPr="009259D0">
                  <w:rPr>
                    <w:szCs w:val="24"/>
                  </w:rPr>
                  <w:t>Ca</w:t>
                </w:r>
                <w:r w:rsidRPr="009259D0">
                  <w:rPr>
                    <w:szCs w:val="24"/>
                    <w:vertAlign w:val="superscript"/>
                  </w:rPr>
                  <w:t>2+</w:t>
                </w:r>
                <w:r w:rsidRPr="009259D0">
                  <w:rPr>
                    <w:szCs w:val="24"/>
                  </w:rPr>
                  <w:t xml:space="preserve"> 6PO</w:t>
                </w:r>
                <w:r w:rsidRPr="009259D0">
                  <w:rPr>
                    <w:szCs w:val="24"/>
                    <w:vertAlign w:val="subscript"/>
                  </w:rPr>
                  <w:t>4</w:t>
                </w:r>
                <w:r w:rsidRPr="009259D0">
                  <w:rPr>
                    <w:szCs w:val="24"/>
                    <w:vertAlign w:val="superscript"/>
                  </w:rPr>
                  <w:t>3-</w:t>
                </w:r>
                <w:r w:rsidRPr="009259D0">
                  <w:rPr>
                    <w:szCs w:val="24"/>
                  </w:rPr>
                  <w:t xml:space="preserve"> + OH</w:t>
                </w:r>
                <w:r w:rsidRPr="009259D0">
                  <w:rPr>
                    <w:szCs w:val="24"/>
                    <w:vertAlign w:val="superscript"/>
                  </w:rPr>
                  <w:t>-</w:t>
                </w:r>
                <w:r w:rsidRPr="009259D0">
                  <w:rPr>
                    <w:szCs w:val="24"/>
                  </w:rPr>
                  <w:t xml:space="preserve"> + </w:t>
                </w:r>
                <w:r w:rsidRPr="009259D0">
                  <w:rPr>
                    <w:color w:val="00B050"/>
                    <w:szCs w:val="24"/>
                  </w:rPr>
                  <w:t>F</w:t>
                </w:r>
                <w:r w:rsidRPr="009259D0">
                  <w:rPr>
                    <w:color w:val="00B050"/>
                    <w:szCs w:val="24"/>
                    <w:vertAlign w:val="superscript"/>
                  </w:rPr>
                  <w:t>-</w:t>
                </w:r>
              </w:p>
              <w:p w:rsidR="00EC1C35" w:rsidRPr="009259D0" w:rsidRDefault="00EC1C35" w:rsidP="00EC1C35">
                <w:pPr>
                  <w:jc w:val="center"/>
                  <w:rPr>
                    <w:sz w:val="28"/>
                    <w:szCs w:val="28"/>
                  </w:rPr>
                </w:pPr>
                <w:r w:rsidRPr="009259D0">
                  <w:rPr>
                    <w:szCs w:val="24"/>
                  </w:rPr>
                  <w:t>Ca</w:t>
                </w:r>
                <w:r w:rsidRPr="009259D0">
                  <w:rPr>
                    <w:szCs w:val="24"/>
                    <w:vertAlign w:val="subscript"/>
                  </w:rPr>
                  <w:t>10</w:t>
                </w:r>
                <w:r w:rsidRPr="009259D0">
                  <w:rPr>
                    <w:szCs w:val="24"/>
                  </w:rPr>
                  <w:t>(PO</w:t>
                </w:r>
                <w:r w:rsidRPr="009259D0">
                  <w:rPr>
                    <w:szCs w:val="24"/>
                    <w:vertAlign w:val="subscript"/>
                  </w:rPr>
                  <w:t>4</w:t>
                </w:r>
                <w:r w:rsidRPr="009259D0">
                  <w:rPr>
                    <w:szCs w:val="24"/>
                  </w:rPr>
                  <w:t>)</w:t>
                </w:r>
                <w:r w:rsidRPr="009259D0">
                  <w:rPr>
                    <w:szCs w:val="24"/>
                    <w:vertAlign w:val="subscript"/>
                  </w:rPr>
                  <w:t>6</w:t>
                </w:r>
                <w:r w:rsidRPr="009259D0">
                  <w:rPr>
                    <w:szCs w:val="24"/>
                  </w:rPr>
                  <w:t>(OH)F</w:t>
                </w:r>
                <w:r>
                  <w:t xml:space="preserve">    </w:t>
                </w:r>
                <m:oMath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</w:rPr>
                    <m:t>←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oMath>
                <w:r>
                  <w:rPr>
                    <w:rFonts w:eastAsiaTheme="minorEastAsia"/>
                  </w:rPr>
                  <w:t xml:space="preserve">    10 </w:t>
                </w:r>
                <w:r>
                  <w:t>Ca</w:t>
                </w:r>
                <w:r w:rsidRPr="003E3E8C">
                  <w:rPr>
                    <w:vertAlign w:val="superscript"/>
                  </w:rPr>
                  <w:t>2+</w:t>
                </w:r>
                <w:r>
                  <w:t xml:space="preserve"> 6PO</w:t>
                </w:r>
                <w:r w:rsidRPr="0071243A">
                  <w:rPr>
                    <w:szCs w:val="24"/>
                    <w:vertAlign w:val="subscript"/>
                  </w:rPr>
                  <w:t>4</w:t>
                </w:r>
                <w:r w:rsidRPr="003E3E8C">
                  <w:rPr>
                    <w:vertAlign w:val="superscript"/>
                  </w:rPr>
                  <w:t>3-</w:t>
                </w:r>
                <w:r>
                  <w:t xml:space="preserve"> + OH</w:t>
                </w:r>
                <w:r w:rsidRPr="003E3E8C">
                  <w:rPr>
                    <w:vertAlign w:val="superscript"/>
                  </w:rPr>
                  <w:t>-</w:t>
                </w:r>
                <w:r>
                  <w:t xml:space="preserve"> + F</w:t>
                </w:r>
              </w:p>
              <w:p w:rsidR="00EC1C35" w:rsidRDefault="00EC1C35" w:rsidP="00EC1C35"/>
              <w:p w:rsidR="00EC1C35" w:rsidRPr="00CB4698" w:rsidRDefault="001918B3" w:rsidP="00EC1C35">
                <w:r>
                  <w:t>Additionally, if</w:t>
                </w:r>
                <w:r w:rsidR="00EC1C35">
                  <w:t xml:space="preserve"> we disturb the system by </w:t>
                </w:r>
                <w:r w:rsidR="00EC1C35" w:rsidRPr="009259D0">
                  <w:rPr>
                    <w:color w:val="FF0000"/>
                  </w:rPr>
                  <w:t xml:space="preserve">removing </w:t>
                </w:r>
                <w:r w:rsidR="00EC1C35">
                  <w:t>fluoride ion (F</w:t>
                </w:r>
                <w:r w:rsidR="00EC1C35" w:rsidRPr="003E3E8C">
                  <w:rPr>
                    <w:vertAlign w:val="superscript"/>
                  </w:rPr>
                  <w:t>-</w:t>
                </w:r>
                <w:r w:rsidR="00EC1C35">
                  <w:t>) from the acidic oral environment, then in effect, we are taking away some of the F</w:t>
                </w:r>
                <w:r w:rsidR="00EC1C35" w:rsidRPr="003E3E8C">
                  <w:rPr>
                    <w:vertAlign w:val="superscript"/>
                  </w:rPr>
                  <w:t>-</w:t>
                </w:r>
                <w:r w:rsidR="00EC1C35">
                  <w:t xml:space="preserve"> from the product side </w:t>
                </w:r>
                <w:r w:rsidR="00BD5A26">
                  <w:t xml:space="preserve">and </w:t>
                </w:r>
                <w:r w:rsidR="00EC1C35">
                  <w:t>thereby driving the reaction to the right (the products side)</w:t>
                </w:r>
                <w:r w:rsidR="00BD5A26">
                  <w:t xml:space="preserve">. This </w:t>
                </w:r>
                <w:r w:rsidR="00EC1C35">
                  <w:t xml:space="preserve">is the process of enamel </w:t>
                </w:r>
                <w:r w:rsidR="00EC1C35" w:rsidRPr="006F1A24">
                  <w:rPr>
                    <w:color w:val="FF0000"/>
                  </w:rPr>
                  <w:t>demineralization</w:t>
                </w:r>
                <w:r w:rsidR="00EC1C35">
                  <w:t xml:space="preserve">. </w:t>
                </w:r>
              </w:p>
              <w:p w:rsidR="00EC1C35" w:rsidRPr="009378BA" w:rsidRDefault="00EC1C35" w:rsidP="00EC1C35"/>
              <w:p w:rsidR="00EC1C35" w:rsidRPr="005C1D70" w:rsidRDefault="00EC1C35" w:rsidP="005C1D70">
                <w:pPr>
                  <w:jc w:val="center"/>
                  <w:rPr>
                    <w:color w:val="FF0000"/>
                    <w:vertAlign w:val="superscript"/>
                  </w:rPr>
                </w:pPr>
                <w:r>
                  <w:t>Ca</w:t>
                </w:r>
                <w:r w:rsidRPr="0071243A">
                  <w:rPr>
                    <w:szCs w:val="24"/>
                    <w:vertAlign w:val="subscript"/>
                  </w:rPr>
                  <w:t>10</w:t>
                </w:r>
                <w:r>
                  <w:t>(PO</w:t>
                </w:r>
                <w:r w:rsidRPr="0071243A">
                  <w:rPr>
                    <w:szCs w:val="24"/>
                    <w:vertAlign w:val="subscript"/>
                  </w:rPr>
                  <w:t>4</w:t>
                </w:r>
                <w:r>
                  <w:t>)</w:t>
                </w:r>
                <w:r w:rsidRPr="0071243A">
                  <w:rPr>
                    <w:szCs w:val="24"/>
                    <w:vertAlign w:val="subscript"/>
                  </w:rPr>
                  <w:t>6</w:t>
                </w:r>
                <w:r>
                  <w:t xml:space="preserve">(OH)F    </w:t>
                </w:r>
                <m:oMath>
                  <m:r>
                    <w:rPr>
                      <w:rFonts w:ascii="Cambria Math" w:hAnsi="Cambria Math"/>
                    </w:rPr>
                    <m:t>⇌</m:t>
                  </m:r>
                </m:oMath>
                <w:r>
                  <w:rPr>
                    <w:rFonts w:eastAsiaTheme="minorEastAsia"/>
                  </w:rPr>
                  <w:t xml:space="preserve">    10 </w:t>
                </w:r>
                <w:r>
                  <w:t>Ca</w:t>
                </w:r>
                <w:r w:rsidRPr="003E3E8C">
                  <w:rPr>
                    <w:vertAlign w:val="superscript"/>
                  </w:rPr>
                  <w:t>2+</w:t>
                </w:r>
                <w:r>
                  <w:t xml:space="preserve"> 6PO</w:t>
                </w:r>
                <w:r w:rsidRPr="0071243A">
                  <w:rPr>
                    <w:szCs w:val="24"/>
                    <w:vertAlign w:val="subscript"/>
                  </w:rPr>
                  <w:t>4</w:t>
                </w:r>
                <w:r w:rsidRPr="003E3E8C">
                  <w:rPr>
                    <w:vertAlign w:val="superscript"/>
                  </w:rPr>
                  <w:t>3-</w:t>
                </w:r>
                <w:r>
                  <w:t xml:space="preserve"> + OH</w:t>
                </w:r>
                <w:r w:rsidRPr="003E3E8C">
                  <w:rPr>
                    <w:vertAlign w:val="superscript"/>
                  </w:rPr>
                  <w:t>-</w:t>
                </w:r>
                <w:r>
                  <w:t xml:space="preserve"> + </w:t>
                </w:r>
                <w:r w:rsidRPr="00372C73">
                  <w:rPr>
                    <w:color w:val="FF0000"/>
                  </w:rPr>
                  <w:t>F</w:t>
                </w:r>
                <w:r w:rsidRPr="00372C73">
                  <w:rPr>
                    <w:color w:val="FF0000"/>
                    <w:vertAlign w:val="superscript"/>
                  </w:rPr>
                  <w:t>-</w:t>
                </w:r>
              </w:p>
              <w:p w:rsidR="00EC1C35" w:rsidRDefault="00EC1C35" w:rsidP="00EC1C35">
                <w:pPr>
                  <w:jc w:val="center"/>
                  <w:rPr>
                    <w:vertAlign w:val="superscript"/>
                  </w:rPr>
                </w:pPr>
                <w:r w:rsidRPr="009259D0">
                  <w:rPr>
                    <w:szCs w:val="24"/>
                  </w:rPr>
                  <w:t>Ca</w:t>
                </w:r>
                <w:r w:rsidRPr="009259D0">
                  <w:rPr>
                    <w:szCs w:val="24"/>
                    <w:vertAlign w:val="subscript"/>
                  </w:rPr>
                  <w:t>10</w:t>
                </w:r>
                <w:r w:rsidRPr="009259D0">
                  <w:rPr>
                    <w:szCs w:val="24"/>
                  </w:rPr>
                  <w:t>(PO</w:t>
                </w:r>
                <w:r w:rsidRPr="009259D0">
                  <w:rPr>
                    <w:szCs w:val="24"/>
                    <w:vertAlign w:val="subscript"/>
                  </w:rPr>
                  <w:t>4</w:t>
                </w:r>
                <w:r w:rsidRPr="009259D0">
                  <w:rPr>
                    <w:szCs w:val="24"/>
                  </w:rPr>
                  <w:t>)</w:t>
                </w:r>
                <w:r w:rsidRPr="009259D0">
                  <w:rPr>
                    <w:szCs w:val="24"/>
                    <w:vertAlign w:val="subscript"/>
                  </w:rPr>
                  <w:t>6</w:t>
                </w:r>
                <w:r w:rsidRPr="009259D0">
                  <w:rPr>
                    <w:szCs w:val="24"/>
                  </w:rPr>
                  <w:t>(OH)F</w:t>
                </w:r>
                <w:r>
                  <w:t xml:space="preserve">    </w:t>
                </w:r>
                <m:oMath>
                  <m:r>
                    <w:rPr>
                      <w:rFonts w:ascii="Cambria Math" w:hAnsi="Cambria Math"/>
                      <w:color w:val="FF0000"/>
                      <w:vertAlign w:val="subscript"/>
                    </w:rPr>
                    <m:t>→</m:t>
                  </m:r>
                </m:oMath>
                <w:r>
                  <w:t xml:space="preserve"> </w:t>
                </w:r>
                <m:oMath>
                  <m:r>
                    <w:rPr>
                      <w:rFonts w:ascii="Cambria Math" w:hAnsi="Cambria Math"/>
                    </w:rPr>
                    <m:t xml:space="preserve"> </m:t>
                  </m:r>
                </m:oMath>
                <w:r>
                  <w:rPr>
                    <w:rFonts w:eastAsiaTheme="minorEastAsia"/>
                  </w:rPr>
                  <w:t xml:space="preserve">  10 </w:t>
                </w:r>
                <w:r>
                  <w:t>Ca</w:t>
                </w:r>
                <w:r w:rsidRPr="003E3E8C">
                  <w:rPr>
                    <w:vertAlign w:val="superscript"/>
                  </w:rPr>
                  <w:t>2+</w:t>
                </w:r>
                <w:r>
                  <w:t xml:space="preserve"> 6PO</w:t>
                </w:r>
                <w:r w:rsidRPr="0071243A">
                  <w:rPr>
                    <w:szCs w:val="24"/>
                    <w:vertAlign w:val="subscript"/>
                  </w:rPr>
                  <w:t>4</w:t>
                </w:r>
                <w:r w:rsidRPr="003E3E8C">
                  <w:rPr>
                    <w:vertAlign w:val="superscript"/>
                  </w:rPr>
                  <w:t>3-</w:t>
                </w:r>
                <w:r>
                  <w:t xml:space="preserve"> + OH</w:t>
                </w:r>
                <w:r w:rsidRPr="003E3E8C">
                  <w:rPr>
                    <w:vertAlign w:val="superscript"/>
                  </w:rPr>
                  <w:t>-</w:t>
                </w:r>
                <w:r>
                  <w:t xml:space="preserve"> + F</w:t>
                </w:r>
                <w:r w:rsidRPr="009259D0">
                  <w:rPr>
                    <w:vertAlign w:val="superscript"/>
                  </w:rPr>
                  <w:t>-</w:t>
                </w:r>
              </w:p>
              <w:p w:rsidR="005B248D" w:rsidRDefault="005B248D" w:rsidP="00EC1C35">
                <w:pPr>
                  <w:autoSpaceDE w:val="0"/>
                  <w:autoSpaceDN w:val="0"/>
                  <w:adjustRightInd w:val="0"/>
                </w:pP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lastRenderedPageBreak/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887179" w:rsidRDefault="00887179" w:rsidP="00887179">
                <w:pPr>
                  <w:rPr>
                    <w:rStyle w:val="apple-converted-space"/>
                    <w:color w:val="000000"/>
                  </w:rPr>
                </w:pPr>
                <w:r>
                  <w:t xml:space="preserve">[1] </w:t>
                </w:r>
                <w:r>
                  <w:rPr>
                    <w:color w:val="000000"/>
                  </w:rPr>
                  <w:t>Chapter 12. “Chemical Interactions between the Tooth and Oral Fluids.”</w:t>
                </w:r>
                <w:r>
                  <w:rPr>
                    <w:rStyle w:val="apple-converted-space"/>
                    <w:color w:val="000000"/>
                  </w:rPr>
                  <w:t> </w:t>
                </w:r>
                <w:r>
                  <w:rPr>
                    <w:i/>
                    <w:iCs/>
                    <w:color w:val="000000"/>
                  </w:rPr>
                  <w:t>Dental Caries: the Disease and Its Clinical Management</w:t>
                </w:r>
                <w:r>
                  <w:rPr>
                    <w:color w:val="000000"/>
                  </w:rPr>
                  <w:t xml:space="preserve">, by Ole </w:t>
                </w:r>
                <w:proofErr w:type="spellStart"/>
                <w:r>
                  <w:rPr>
                    <w:color w:val="000000"/>
                  </w:rPr>
                  <w:t>Fejerskov</w:t>
                </w:r>
                <w:proofErr w:type="spellEnd"/>
                <w:r>
                  <w:rPr>
                    <w:color w:val="000000"/>
                  </w:rPr>
                  <w:t xml:space="preserve"> and Edwina A. M. Kidd, 2nd ed., UK: Blackwell </w:t>
                </w:r>
                <w:proofErr w:type="spellStart"/>
                <w:proofErr w:type="gramStart"/>
                <w:r>
                  <w:rPr>
                    <w:color w:val="000000"/>
                  </w:rPr>
                  <w:t>Munksgaard</w:t>
                </w:r>
                <w:proofErr w:type="spellEnd"/>
                <w:r>
                  <w:rPr>
                    <w:color w:val="000000"/>
                  </w:rPr>
                  <w:t xml:space="preserve"> ,</w:t>
                </w:r>
                <w:proofErr w:type="gramEnd"/>
                <w:r>
                  <w:rPr>
                    <w:color w:val="000000"/>
                  </w:rPr>
                  <w:t xml:space="preserve"> 2009, pp. 211–231.</w:t>
                </w:r>
                <w:r>
                  <w:rPr>
                    <w:rStyle w:val="apple-converted-space"/>
                    <w:color w:val="000000"/>
                  </w:rPr>
                  <w:t> </w:t>
                </w:r>
              </w:p>
              <w:p w:rsidR="00887179" w:rsidRDefault="00887179" w:rsidP="00887179">
                <w:pPr>
                  <w:rPr>
                    <w:rStyle w:val="apple-converted-space"/>
                    <w:color w:val="000000"/>
                  </w:rPr>
                </w:pPr>
              </w:p>
              <w:p w:rsidR="001A49CE" w:rsidRPr="00887179" w:rsidRDefault="00887179" w:rsidP="00292BEF">
                <w:pPr>
                  <w:rPr>
                    <w:color w:val="000000"/>
                  </w:rPr>
                </w:pPr>
                <w:r>
                  <w:rPr>
                    <w:rStyle w:val="apple-converted-space"/>
                    <w:color w:val="000000"/>
                  </w:rPr>
                  <w:t xml:space="preserve">[2] </w:t>
                </w:r>
                <w:r w:rsidRPr="00EA7AA9">
                  <w:rPr>
                    <w:color w:val="000000"/>
                  </w:rPr>
                  <w:t>Atkins, P. W., and Julio De Paula. </w:t>
                </w:r>
                <w:r w:rsidRPr="00EA7AA9">
                  <w:rPr>
                    <w:i/>
                    <w:iCs/>
                    <w:color w:val="000000"/>
                  </w:rPr>
                  <w:t>Physical Chemistry: Thermodynamics, Structure, and Change</w:t>
                </w:r>
                <w:r w:rsidRPr="00EA7AA9">
                  <w:rPr>
                    <w:color w:val="000000"/>
                  </w:rPr>
                  <w:t>. W.H. Freeman, 2014.</w:t>
                </w:r>
              </w:p>
              <w:p w:rsidR="005B248D" w:rsidRDefault="005B248D" w:rsidP="00292BEF"/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385D" w:rsidRDefault="003E385D" w:rsidP="00292BEF">
      <w:r>
        <w:separator/>
      </w:r>
    </w:p>
  </w:endnote>
  <w:endnote w:type="continuationSeparator" w:id="0">
    <w:p w:rsidR="003E385D" w:rsidRDefault="003E385D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385D" w:rsidRDefault="003E385D" w:rsidP="00292BEF">
      <w:r>
        <w:separator/>
      </w:r>
    </w:p>
  </w:footnote>
  <w:footnote w:type="continuationSeparator" w:id="0">
    <w:p w:rsidR="003E385D" w:rsidRDefault="003E385D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350AD"/>
    <w:multiLevelType w:val="hybridMultilevel"/>
    <w:tmpl w:val="6774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2C3D"/>
    <w:multiLevelType w:val="hybridMultilevel"/>
    <w:tmpl w:val="AD7C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81341"/>
    <w:multiLevelType w:val="hybridMultilevel"/>
    <w:tmpl w:val="C718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87B59"/>
    <w:rsid w:val="001918B3"/>
    <w:rsid w:val="001A49CE"/>
    <w:rsid w:val="002223D1"/>
    <w:rsid w:val="00246C4B"/>
    <w:rsid w:val="00292BEF"/>
    <w:rsid w:val="00306D6B"/>
    <w:rsid w:val="003D32EE"/>
    <w:rsid w:val="003E385D"/>
    <w:rsid w:val="004C6910"/>
    <w:rsid w:val="005B248D"/>
    <w:rsid w:val="005C1D70"/>
    <w:rsid w:val="007B6610"/>
    <w:rsid w:val="007D3CB0"/>
    <w:rsid w:val="00887179"/>
    <w:rsid w:val="008B1199"/>
    <w:rsid w:val="009A073A"/>
    <w:rsid w:val="009F7390"/>
    <w:rsid w:val="00B50056"/>
    <w:rsid w:val="00BD5A26"/>
    <w:rsid w:val="00C42AED"/>
    <w:rsid w:val="00C90ED3"/>
    <w:rsid w:val="00CA07DB"/>
    <w:rsid w:val="00DF1FAB"/>
    <w:rsid w:val="00E05B1E"/>
    <w:rsid w:val="00E7176C"/>
    <w:rsid w:val="00E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5DCE"/>
  <w15:docId w15:val="{E8DBA58A-CCE9-4643-A1D4-3DDEC16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EC1C35"/>
    <w:pPr>
      <w:widowControl/>
      <w:ind w:left="720"/>
      <w:contextualSpacing/>
    </w:pPr>
    <w:rPr>
      <w:rFonts w:asciiTheme="minorHAnsi" w:eastAsiaTheme="minorHAnsi" w:hAnsiTheme="minorHAnsi" w:cstheme="minorBidi"/>
      <w:snapToGrid/>
      <w:szCs w:val="24"/>
    </w:rPr>
  </w:style>
  <w:style w:type="character" w:customStyle="1" w:styleId="apple-converted-space">
    <w:name w:val="apple-converted-space"/>
    <w:basedOn w:val="DefaultParagraphFont"/>
    <w:rsid w:val="0088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EF0EA7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EF0EA7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EF0EA7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EF0EA7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EF0EA7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1F6662"/>
    <w:rsid w:val="002F217F"/>
    <w:rsid w:val="0047423F"/>
    <w:rsid w:val="008806B5"/>
    <w:rsid w:val="009612F6"/>
    <w:rsid w:val="00AE3434"/>
    <w:rsid w:val="00BB03C8"/>
    <w:rsid w:val="00DE1A41"/>
    <w:rsid w:val="00EE2C44"/>
    <w:rsid w:val="00E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David Donoso</cp:lastModifiedBy>
  <cp:revision>11</cp:revision>
  <dcterms:created xsi:type="dcterms:W3CDTF">2011-08-30T13:28:00Z</dcterms:created>
  <dcterms:modified xsi:type="dcterms:W3CDTF">2020-11-09T04:01:00Z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