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Critically Appraised Topic (CAT)</w:t>
      </w: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108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8640"/>
        <w:tblGridChange w:id="0">
          <w:tblGrid>
            <w:gridCol w:w="864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Team:  </w:t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7B-1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Team Participants:  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Jesus Echezarreta, Gabriella Andrie, Omar Karim, Alex Orzepowski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Clinical Question: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In patients with permanent teeth blocked from eruption by supernumerary teeth, does extraction and normal eruption lead to better outcomes than extraction and immediate orthodontic extrusion?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PICO Format: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P: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Unerupted permanent teeth due to presence of supernumerary teeth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I: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Extraction with natural eruption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C: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Extraction with orthodontic extrusion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O: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Reestablishment of complete occlusion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PICO Formatted Question: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In patients who have unerupted permanent teeth due to supernumerary teeth, does extraction with natural eruption as compared to extraction with orthodontic extrusion result in a more efficient reestablishment of complete occlusion?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Clinical Bottom Line: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In the process of treatment planning, do we need to get orthodontics involved right away or allow the natural process of eruption to occur and then get orthodontics involved if needed?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Date(s) of Search:  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Database(s) Used: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Pubmed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Search Strategy/Keywords: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MESH terms used: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Article(s) Cited: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Study Design(s):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Reason for Article Selection: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Article(s) Synopsis: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Levels of Evidence: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(For Therapy/Prevention, Etiology/Harm)  </w:t>
            </w:r>
          </w:p>
          <w:p w:rsidR="00000000" w:rsidDel="00000000" w:rsidP="00000000" w:rsidRDefault="00000000" w:rsidRPr="00000000" w14:paraId="0000002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See   </w:t>
            </w: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http://www.cebm.net/index.aspx?o=1025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firstLine="0"/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1a</w:t>
            </w:r>
            <w:r w:rsidDel="00000000" w:rsidR="00000000" w:rsidRPr="00000000">
              <w:rPr>
                <w:rtl w:val="0"/>
              </w:rPr>
              <w:t xml:space="preserve"> – Clinical Practice Guideline, Meta-Analysis, Systematic Review of Randomized Control Trials (RCTs)</w:t>
            </w:r>
          </w:p>
          <w:p w:rsidR="00000000" w:rsidDel="00000000" w:rsidP="00000000" w:rsidRDefault="00000000" w:rsidRPr="00000000" w14:paraId="00000028">
            <w:pPr>
              <w:ind w:left="0" w:firstLine="0"/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1b</w:t>
            </w:r>
            <w:r w:rsidDel="00000000" w:rsidR="00000000" w:rsidRPr="00000000">
              <w:rPr>
                <w:rtl w:val="0"/>
              </w:rPr>
              <w:t xml:space="preserve"> – Individual RCT</w:t>
            </w:r>
          </w:p>
          <w:p w:rsidR="00000000" w:rsidDel="00000000" w:rsidP="00000000" w:rsidRDefault="00000000" w:rsidRPr="00000000" w14:paraId="00000029">
            <w:pPr>
              <w:ind w:left="0" w:firstLine="0"/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2a</w:t>
            </w:r>
            <w:r w:rsidDel="00000000" w:rsidR="00000000" w:rsidRPr="00000000">
              <w:rPr>
                <w:rtl w:val="0"/>
              </w:rPr>
              <w:t xml:space="preserve"> – Systematic Review of Cohort Studies</w:t>
            </w:r>
          </w:p>
          <w:p w:rsidR="00000000" w:rsidDel="00000000" w:rsidP="00000000" w:rsidRDefault="00000000" w:rsidRPr="00000000" w14:paraId="0000002A">
            <w:pPr>
              <w:ind w:left="0" w:firstLine="0"/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2b </w:t>
            </w:r>
            <w:r w:rsidDel="00000000" w:rsidR="00000000" w:rsidRPr="00000000">
              <w:rPr>
                <w:rtl w:val="0"/>
              </w:rPr>
              <w:t xml:space="preserve">– Individual Cohort Study</w:t>
            </w:r>
          </w:p>
          <w:p w:rsidR="00000000" w:rsidDel="00000000" w:rsidP="00000000" w:rsidRDefault="00000000" w:rsidRPr="00000000" w14:paraId="0000002B">
            <w:pPr>
              <w:ind w:left="0" w:firstLine="0"/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  <w:t xml:space="preserve"> – Cross-sectional Studies, Ecologic Studies, “Outcomes” Research</w:t>
            </w:r>
          </w:p>
          <w:p w:rsidR="00000000" w:rsidDel="00000000" w:rsidP="00000000" w:rsidRDefault="00000000" w:rsidRPr="00000000" w14:paraId="0000002C">
            <w:pPr>
              <w:ind w:left="0" w:firstLine="0"/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4a</w:t>
            </w:r>
            <w:r w:rsidDel="00000000" w:rsidR="00000000" w:rsidRPr="00000000">
              <w:rPr>
                <w:rtl w:val="0"/>
              </w:rPr>
              <w:t xml:space="preserve"> – Systematic Review of Case Control Studies</w:t>
            </w:r>
          </w:p>
          <w:p w:rsidR="00000000" w:rsidDel="00000000" w:rsidP="00000000" w:rsidRDefault="00000000" w:rsidRPr="00000000" w14:paraId="0000002D">
            <w:pPr>
              <w:ind w:left="0" w:firstLine="0"/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4b</w:t>
            </w:r>
            <w:r w:rsidDel="00000000" w:rsidR="00000000" w:rsidRPr="00000000">
              <w:rPr>
                <w:rtl w:val="0"/>
              </w:rPr>
              <w:t xml:space="preserve"> – Individual Case Control Study</w:t>
            </w:r>
          </w:p>
          <w:p w:rsidR="00000000" w:rsidDel="00000000" w:rsidP="00000000" w:rsidRDefault="00000000" w:rsidRPr="00000000" w14:paraId="0000002E">
            <w:pPr>
              <w:ind w:left="0" w:firstLine="0"/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5</w:t>
            </w:r>
            <w:r w:rsidDel="00000000" w:rsidR="00000000" w:rsidRPr="00000000">
              <w:rPr>
                <w:rtl w:val="0"/>
              </w:rPr>
              <w:t xml:space="preserve"> – Case Series, Case Reports</w:t>
            </w:r>
          </w:p>
          <w:p w:rsidR="00000000" w:rsidDel="00000000" w:rsidP="00000000" w:rsidRDefault="00000000" w:rsidRPr="00000000" w14:paraId="0000002F">
            <w:pPr>
              <w:ind w:left="0" w:firstLine="0"/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6</w:t>
            </w:r>
            <w:r w:rsidDel="00000000" w:rsidR="00000000" w:rsidRPr="00000000">
              <w:rPr>
                <w:rtl w:val="0"/>
              </w:rPr>
              <w:t xml:space="preserve"> – Expert Opinion without explicit critical appraisal, Narrative Review</w:t>
            </w:r>
          </w:p>
          <w:p w:rsidR="00000000" w:rsidDel="00000000" w:rsidP="00000000" w:rsidRDefault="00000000" w:rsidRPr="00000000" w14:paraId="00000030">
            <w:pPr>
              <w:ind w:left="0" w:firstLine="0"/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7</w:t>
            </w:r>
            <w:r w:rsidDel="00000000" w:rsidR="00000000" w:rsidRPr="00000000">
              <w:rPr>
                <w:rtl w:val="0"/>
              </w:rPr>
              <w:t xml:space="preserve"> – Animal Research</w:t>
            </w:r>
          </w:p>
          <w:p w:rsidR="00000000" w:rsidDel="00000000" w:rsidP="00000000" w:rsidRDefault="00000000" w:rsidRPr="00000000" w14:paraId="00000031">
            <w:pPr>
              <w:ind w:left="0" w:firstLine="0"/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8</w:t>
            </w:r>
            <w:r w:rsidDel="00000000" w:rsidR="00000000" w:rsidRPr="00000000">
              <w:rPr>
                <w:rtl w:val="0"/>
              </w:rPr>
              <w:t xml:space="preserve"> – In Vitro Research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Strength of Recommendation Taxonomy (SORT) For Guidelines and Systematic Reviews</w:t>
            </w:r>
          </w:p>
          <w:p w:rsidR="00000000" w:rsidDel="00000000" w:rsidP="00000000" w:rsidRDefault="00000000" w:rsidRPr="00000000" w14:paraId="00000033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See article </w:t>
            </w:r>
            <w:r w:rsidDel="00000000" w:rsidR="00000000" w:rsidRPr="00000000">
              <w:rPr>
                <w:b w:val="1"/>
                <w:rtl w:val="0"/>
              </w:rPr>
              <w:t xml:space="preserve">J Evid Base Dent Pract 2007;147-150</w:t>
            </w:r>
          </w:p>
          <w:p w:rsidR="00000000" w:rsidDel="00000000" w:rsidP="00000000" w:rsidRDefault="00000000" w:rsidRPr="00000000" w14:paraId="0000003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A </w:t>
            </w:r>
            <w:r w:rsidDel="00000000" w:rsidR="00000000" w:rsidRPr="00000000">
              <w:rPr>
                <w:rtl w:val="0"/>
              </w:rPr>
              <w:t xml:space="preserve">– Consistent, good quality patient oriented evidence</w:t>
            </w: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35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B</w:t>
            </w:r>
            <w:r w:rsidDel="00000000" w:rsidR="00000000" w:rsidRPr="00000000">
              <w:rPr>
                <w:rtl w:val="0"/>
              </w:rPr>
              <w:t xml:space="preserve"> – Inconsistent or limited quality patient oriented evidence</w:t>
            </w: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36">
            <w:pPr>
              <w:ind w:left="0" w:firstLine="0"/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C</w:t>
            </w:r>
            <w:r w:rsidDel="00000000" w:rsidR="00000000" w:rsidRPr="00000000">
              <w:rPr>
                <w:rtl w:val="0"/>
              </w:rPr>
              <w:t xml:space="preserve"> – Consensus, disease oriented evidence, usual practice, expert opinion, or case series for studies of diagnosis, treatment, prevention, or screening</w:t>
            </w:r>
          </w:p>
          <w:p w:rsidR="00000000" w:rsidDel="00000000" w:rsidP="00000000" w:rsidRDefault="00000000" w:rsidRPr="00000000" w14:paraId="00000037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Conclusion(s):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ind w:left="0" w:firstLine="0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720" w:right="0" w:hanging="3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Template revised 10/15/2014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720" w:right="0" w:hanging="36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MUSoD Rounds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720" w:right="0" w:hanging="36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D3 PICO CAT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ebm.net/index.aspx?o=1025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