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EA44D2" w:rsidP="00EA44D2">
                <w:r>
                  <w:t>Collin Zweifel</w:t>
                </w:r>
                <w:r>
                  <w:tab/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EA44D2" w:rsidP="00EA44D2">
                <w:r>
                  <w:t>10 A3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EA44D2" w:rsidP="00292BEF"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are periapical abscesses, granulomas and cysts? How do you tell the difference between them?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162102" w:rsidRDefault="00EA44D2" w:rsidP="00EA44D2">
                <w:r>
                  <w:t xml:space="preserve">All three of these lesions are “periapical” lesions meaning they affect the apical portion of teeth that they are </w:t>
                </w:r>
                <w:r w:rsidR="002E6A59">
                  <w:t>affecting.</w:t>
                </w:r>
                <w:r w:rsidR="00C06C5C">
                  <w:t xml:space="preserve"> </w:t>
                </w:r>
              </w:p>
              <w:p w:rsidR="009277F4" w:rsidRDefault="009277F4" w:rsidP="00EA44D2"/>
              <w:p w:rsidR="009277F4" w:rsidRDefault="009277F4" w:rsidP="00EA44D2">
                <w:r>
                  <w:t xml:space="preserve">A periapical granuloma is caused by pulp nercrosis of the tooth. The tooth can die from trauma or infection, either way this lesion is associated with a non-vital tooth. This necrotic pulp causes inflammation reaction at the apex of the tooth. </w:t>
                </w:r>
                <w:r w:rsidR="008A0FE1">
                  <w:t>This forms granulation tissue, which is a combination of fibroblasts, lymphocytes, blood vessles,</w:t>
                </w:r>
                <w:r w:rsidR="00D54412">
                  <w:t xml:space="preserve"> connective tissue,</w:t>
                </w:r>
                <w:r w:rsidR="008A0FE1">
                  <w:t xml:space="preserve"> and scar tissue. </w:t>
                </w:r>
                <w:r w:rsidR="00A932E2">
                  <w:t>This inflamed ti</w:t>
                </w:r>
                <w:r w:rsidR="008A0FE1">
                  <w:t>ssue is continuous with the PDL, and this inflammation is considered to be chornic.</w:t>
                </w:r>
                <w:r>
                  <w:t xml:space="preserve"> Around 20% of periapical granulomas progress to periapical cysts. These les</w:t>
                </w:r>
                <w:r w:rsidR="00FA1C62">
                  <w:t>ions are often painless as well, so patients are often asymptomatic.</w:t>
                </w:r>
                <w:r w:rsidR="00A932E2">
                  <w:t>The name is a misnomer, as this is not technica</w:t>
                </w:r>
                <w:r w:rsidR="00AF4854">
                  <w:t>lly granuloma but rather just granulation tissue.</w:t>
                </w:r>
              </w:p>
              <w:p w:rsidR="00162102" w:rsidRDefault="00162102" w:rsidP="00EA44D2"/>
              <w:p w:rsidR="00162102" w:rsidRDefault="009277F4" w:rsidP="00EA44D2">
                <w:r>
                  <w:t>This chronic inflammation from a periapical granuloma has the potential to stimulate a</w:t>
                </w:r>
                <w:r w:rsidR="00162102">
                  <w:t xml:space="preserve"> periapical cyst </w:t>
                </w:r>
                <w:r>
                  <w:t xml:space="preserve">formation, which </w:t>
                </w:r>
                <w:r w:rsidR="00162102">
                  <w:t>originate</w:t>
                </w:r>
                <w:r>
                  <w:t>s</w:t>
                </w:r>
                <w:r w:rsidR="00CE30BD">
                  <w:t xml:space="preserve"> from the epithileal </w:t>
                </w:r>
                <w:r w:rsidR="00162102">
                  <w:t xml:space="preserve">rests of Malassez in the alveolus. </w:t>
                </w:r>
                <w:r w:rsidR="00CE30BD">
                  <w:t xml:space="preserve">The epithileal rest of Malassez are triggered to proliferate into a mass of cells within the granuloma. The </w:t>
                </w:r>
                <w:r w:rsidR="00F971B6">
                  <w:t xml:space="preserve">rest </w:t>
                </w:r>
                <w:r w:rsidR="00CE30BD">
                  <w:t xml:space="preserve">cells in the center of this are broken down, thus creating the liquid </w:t>
                </w:r>
                <w:r w:rsidR="00F971B6">
                  <w:t xml:space="preserve">central </w:t>
                </w:r>
                <w:r w:rsidR="00CE30BD">
                  <w:t>portion of the cyst, and an epithileal layer of cells lining this</w:t>
                </w:r>
                <w:r w:rsidR="00F971B6">
                  <w:t xml:space="preserve"> cavity. </w:t>
                </w:r>
                <w:r w:rsidR="00A932E2">
                  <w:t>This epithileal layer of cells of the cyst is what distinguishes it from a periapical granuloma.</w:t>
                </w:r>
                <w:r w:rsidR="00F971B6">
                  <w:t xml:space="preserve"> This cyst is a </w:t>
                </w:r>
                <w:r w:rsidR="00D54412">
                  <w:t xml:space="preserve">pathologic cavity with fluid in it, that may </w:t>
                </w:r>
                <w:r w:rsidR="00FA1C62">
                  <w:t>also cotain Cholesterol</w:t>
                </w:r>
                <w:r w:rsidR="00D54412">
                  <w:t xml:space="preserve"> crystals</w:t>
                </w:r>
                <w:r w:rsidR="00795512">
                  <w:t>, with an epithileal lining, and a connective tissu</w:t>
                </w:r>
                <w:r w:rsidR="00CE30BD">
                  <w:t xml:space="preserve">e capsule surrounding all of it. </w:t>
                </w:r>
                <w:r w:rsidR="00764D53">
                  <w:t xml:space="preserve">This cyst can be further broken down into two more distinct cys: a true cyst and a pocket cyst. A pocket cyst is an epithelium contained cavtity that is open towards the root canal of the affected tooth. A true cyst is is completely enclosed by epithleal lining and independent of the affected tooth. </w:t>
                </w:r>
                <w:r w:rsidR="00A932E2">
                  <w:t xml:space="preserve"> </w:t>
                </w:r>
                <w:r w:rsidR="00162102">
                  <w:t>Periapical cysts are more common in the anterior maxilla, which supports the theory that trauma may trigger the proliferation of these cells as well.</w:t>
                </w:r>
                <w:r w:rsidR="00C06C5C">
                  <w:t xml:space="preserve"> These lesions are slow growing, don’t exhibit large sizes, and patients often feel no pain except for acute instances of inflammation. Cysts</w:t>
                </w:r>
                <w:r w:rsidR="00FA1C62">
                  <w:t xml:space="preserve"> and granulomas</w:t>
                </w:r>
                <w:r w:rsidR="00C06C5C">
                  <w:t xml:space="preserve"> a</w:t>
                </w:r>
                <w:r w:rsidR="00A932E2">
                  <w:t>re usually found during routine</w:t>
                </w:r>
                <w:r w:rsidR="00C06C5C">
                  <w:t xml:space="preserve"> radiographic examinations.</w:t>
                </w:r>
              </w:p>
              <w:p w:rsidR="009277F4" w:rsidRDefault="009277F4" w:rsidP="00EA44D2"/>
              <w:p w:rsidR="009277F4" w:rsidRDefault="009277F4" w:rsidP="00EA44D2">
                <w:r>
                  <w:t>Periapical granulomas and periapical cysts are not distinguishable on a radiograph, as both are root associated, well-defined radiolucencies, with scerlotic margins of the lesion.</w:t>
                </w:r>
              </w:p>
              <w:p w:rsidR="009277F4" w:rsidRDefault="009277F4" w:rsidP="00EA44D2"/>
              <w:p w:rsidR="00C06C5C" w:rsidRDefault="00C06C5C" w:rsidP="00EA44D2">
                <w:r>
                  <w:t xml:space="preserve">Periapical abscess are caused too caused by </w:t>
                </w:r>
                <w:r w:rsidR="00524024">
                  <w:t>infection of the pulp that pulp from bacteria</w:t>
                </w:r>
                <w:r w:rsidR="00F971B6">
                  <w:t>, trauma, or can even be caused by periodontal insult from endo treatment</w:t>
                </w:r>
                <w:r w:rsidR="00524024">
                  <w:t xml:space="preserve">. This kind of infection results in pus filling a cavity (abscess), that can train intraorally or extraorally. This pus is made up of </w:t>
                </w:r>
                <w:r w:rsidR="00D54412">
                  <w:t xml:space="preserve">dead </w:t>
                </w:r>
                <w:r w:rsidR="00524024">
                  <w:t xml:space="preserve">WBCs, </w:t>
                </w:r>
                <w:r w:rsidR="00F971B6">
                  <w:t xml:space="preserve">and blood leaked out due to vasodilation from the inflammation process, and necrotic tissue from proteolytic enzymes trying to protect the body from the bacterial infection. This pus </w:t>
                </w:r>
                <w:r w:rsidR="00524024">
                  <w:lastRenderedPageBreak/>
                  <w:t xml:space="preserve">leaks into the apex of the tooth </w:t>
                </w:r>
                <w:r w:rsidR="00F971B6">
                  <w:t xml:space="preserve">into the PDL space </w:t>
                </w:r>
                <w:r w:rsidR="00524024">
                  <w:t>after pulpal necrosis</w:t>
                </w:r>
                <w:r w:rsidR="00AF4854">
                  <w:t xml:space="preserve"> when your body is trying to fight off the infection</w:t>
                </w:r>
                <w:r w:rsidR="00524024">
                  <w:t>.</w:t>
                </w:r>
                <w:r w:rsidR="00464C6C">
                  <w:t xml:space="preserve"> Histologically this lesion presents with many leukocytes and dilated blood vessels.</w:t>
                </w:r>
                <w:r w:rsidR="00524024">
                  <w:t xml:space="preserve"> T</w:t>
                </w:r>
                <w:r w:rsidR="0017768E">
                  <w:t>his lesion is often</w:t>
                </w:r>
                <w:r w:rsidR="00524024">
                  <w:t xml:space="preserve"> pain</w:t>
                </w:r>
                <w:r w:rsidR="0017768E">
                  <w:t>ful</w:t>
                </w:r>
                <w:r w:rsidR="00A04516">
                  <w:t>, due to the pus accumulation at the apex</w:t>
                </w:r>
                <w:r w:rsidR="00A932E2">
                  <w:t xml:space="preserve"> that presses on surrounding structures</w:t>
                </w:r>
                <w:r w:rsidR="00F971B6">
                  <w:t xml:space="preserve"> and nerve tissue</w:t>
                </w:r>
                <w:r w:rsidR="00A04516">
                  <w:t>.</w:t>
                </w:r>
                <w:r w:rsidR="0017768E">
                  <w:t xml:space="preserve"> There can be chronic periapical abscess which tend to progress slower, and acute periapical abscess that progress rapidly.</w:t>
                </w:r>
              </w:p>
              <w:p w:rsidR="00524024" w:rsidRDefault="00524024" w:rsidP="00EA44D2"/>
              <w:p w:rsidR="00524024" w:rsidRDefault="00524024" w:rsidP="00EA44D2">
                <w:r>
                  <w:t>When trying to differentiate between these lesions, it is nearly impossible to do radiographically. They all present as a radiolucency near the apex of the tooth. The method for differentiating between these 3 lesions is histolo</w:t>
                </w:r>
                <w:r w:rsidR="00A04516">
                  <w:t xml:space="preserve">gically. </w:t>
                </w:r>
                <w:r w:rsidR="00120F7B">
                  <w:t xml:space="preserve">This histo section is usually done post operatively, though this is not always done because these lesions normally often resolve with RCT. </w:t>
                </w:r>
                <w:r w:rsidR="00A04516">
                  <w:t>The two methods for treating this periapical pathologies is a RCT or extraction. Choosing between these two is not based on the lesion present, but rather the restorability of the tooth, and the patient’s desires.</w:t>
                </w:r>
                <w:r w:rsidR="00120F7B">
                  <w:t xml:space="preserve"> </w:t>
                </w:r>
              </w:p>
              <w:p w:rsidR="005B248D" w:rsidRDefault="005B248D" w:rsidP="00EA44D2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lastRenderedPageBreak/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464C6C" w:rsidRPr="00464C6C" w:rsidRDefault="002C0D53" w:rsidP="00464C6C">
                <w:pPr>
                  <w:widowControl/>
                  <w:shd w:val="clear" w:color="auto" w:fill="FFFFFF"/>
                  <w:rPr>
                    <w:rFonts w:ascii="Arial" w:hAnsi="Arial" w:cs="Arial"/>
                    <w:snapToGrid/>
                    <w:color w:val="000000"/>
                    <w:sz w:val="27"/>
                    <w:szCs w:val="27"/>
                  </w:rPr>
                </w:pPr>
                <w:hyperlink r:id="rId10" w:history="1">
                  <w:r w:rsidR="00464C6C" w:rsidRPr="00464C6C">
                    <w:rPr>
                      <w:rFonts w:ascii="Arial" w:hAnsi="Arial" w:cs="Arial"/>
                      <w:snapToGrid/>
                      <w:color w:val="642A8F"/>
                      <w:sz w:val="27"/>
                      <w:szCs w:val="27"/>
                      <w:u w:val="single"/>
                    </w:rPr>
                    <w:t>Endodontic Periapical Lesion: An Overview on the Etiology, Diagnosis and Current Treatment Modalities</w:t>
                  </w:r>
                </w:hyperlink>
              </w:p>
              <w:p w:rsidR="00464C6C" w:rsidRPr="00464C6C" w:rsidRDefault="00464C6C" w:rsidP="00464C6C">
                <w:pPr>
                  <w:widowControl/>
                  <w:shd w:val="clear" w:color="auto" w:fill="FFFFFF"/>
                  <w:rPr>
                    <w:rFonts w:ascii="Arial" w:hAnsi="Arial" w:cs="Arial"/>
                    <w:snapToGrid/>
                    <w:color w:val="000000"/>
                    <w:sz w:val="22"/>
                    <w:szCs w:val="22"/>
                  </w:rPr>
                </w:pPr>
                <w:r w:rsidRPr="00464C6C">
                  <w:rPr>
                    <w:rFonts w:ascii="Arial" w:hAnsi="Arial" w:cs="Arial"/>
                    <w:snapToGrid/>
                    <w:color w:val="000000"/>
                    <w:sz w:val="22"/>
                    <w:szCs w:val="22"/>
                  </w:rPr>
                  <w:t>Kasra Karamifar, Afsoon Tondari, Mohammad Ali Saghiri</w:t>
                </w:r>
              </w:p>
              <w:p w:rsidR="00464C6C" w:rsidRPr="00464C6C" w:rsidRDefault="00464C6C" w:rsidP="00464C6C">
                <w:pPr>
                  <w:widowControl/>
                  <w:shd w:val="clear" w:color="auto" w:fill="FFFFFF"/>
                  <w:rPr>
                    <w:rFonts w:ascii="Arial" w:hAnsi="Arial" w:cs="Arial"/>
                    <w:snapToGrid/>
                    <w:color w:val="000000"/>
                    <w:sz w:val="18"/>
                    <w:szCs w:val="18"/>
                  </w:rPr>
                </w:pPr>
                <w:r w:rsidRPr="00464C6C">
                  <w:rPr>
                    <w:rFonts w:ascii="Arial" w:hAnsi="Arial" w:cs="Arial"/>
                    <w:snapToGrid/>
                    <w:color w:val="000000"/>
                    <w:sz w:val="18"/>
                    <w:szCs w:val="18"/>
                  </w:rPr>
                  <w:t>Eur Endod J. 2020; 5(2): 54–67. Published online 2020 Jul 14. doi: 10.14744/eej.2020.42714</w:t>
                </w:r>
              </w:p>
              <w:p w:rsid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  <w:r w:rsidRPr="00464C6C"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  <w:t>PMCID: PMC7398993</w:t>
                </w:r>
              </w:p>
              <w:p w:rsid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</w:p>
              <w:p w:rsid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  <w:t>Modern Surgical Pathology: Second Edition.</w:t>
                </w:r>
              </w:p>
              <w:p w:rsid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  <w:t>Noel Weidner, Richard Cote, Saul Suster, Lawrence Weiss</w:t>
                </w:r>
              </w:p>
              <w:p w:rsid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  <w:t>Published on 2009 June 29</w:t>
                </w:r>
              </w:p>
              <w:p w:rsid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</w:p>
              <w:p w:rsid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  <w:t>Current Therpay in Oral And Maxillofacial Surgery</w:t>
                </w:r>
              </w:p>
              <w:p w:rsid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  <w:t>Shelly Abramowicz, Bonnie Padwa</w:t>
                </w:r>
              </w:p>
              <w:p w:rsidR="000048A5" w:rsidRDefault="00464C6C" w:rsidP="000048A5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  <w:t>Published in 2012</w:t>
                </w:r>
              </w:p>
              <w:p w:rsidR="000048A5" w:rsidRDefault="000048A5" w:rsidP="000048A5">
                <w:pPr>
                  <w:widowControl/>
                  <w:shd w:val="clear" w:color="auto" w:fill="FFFFFF"/>
                  <w:spacing w:line="336" w:lineRule="atLeast"/>
                  <w:ind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</w:p>
              <w:p w:rsidR="000048A5" w:rsidRDefault="000048A5" w:rsidP="000048A5">
                <w:pPr>
                  <w:pStyle w:val="Heading1"/>
                  <w:shd w:val="clear" w:color="auto" w:fill="FFFFFF"/>
                  <w:spacing w:before="0" w:after="0"/>
                  <w:rPr>
                    <w:rFonts w:ascii="Arial" w:hAnsi="Arial" w:cs="Arial"/>
                    <w:b w:val="0"/>
                    <w:bCs w:val="0"/>
                    <w:color w:val="111111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111111"/>
                  </w:rPr>
                  <w:t>Comparative evaluation of immunochemistry, histopathology, and conventional radiography in differentiatin periapical lesions</w:t>
                </w:r>
              </w:p>
              <w:p w:rsidR="000048A5" w:rsidRDefault="000048A5" w:rsidP="000048A5">
                <w:r>
                  <w:t>Journal of Conservative Dentistry</w:t>
                </w:r>
              </w:p>
              <w:p w:rsidR="000048A5" w:rsidRDefault="000048A5" w:rsidP="000048A5">
                <w:r>
                  <w:t>Prahlad Saraf, Sharad Kamat</w:t>
                </w:r>
              </w:p>
              <w:p w:rsidR="000048A5" w:rsidRDefault="000048A5" w:rsidP="000048A5">
                <w:r>
                  <w:t>Published in March 2014</w:t>
                </w:r>
              </w:p>
              <w:p w:rsidR="000048A5" w:rsidRPr="000048A5" w:rsidRDefault="000048A5" w:rsidP="000048A5"/>
              <w:p w:rsidR="00464C6C" w:rsidRPr="00464C6C" w:rsidRDefault="00464C6C" w:rsidP="00464C6C">
                <w:pPr>
                  <w:widowControl/>
                  <w:shd w:val="clear" w:color="auto" w:fill="FFFFFF"/>
                  <w:spacing w:line="336" w:lineRule="atLeast"/>
                  <w:ind w:left="720" w:right="225"/>
                  <w:rPr>
                    <w:rFonts w:ascii="Arial" w:hAnsi="Arial" w:cs="Arial"/>
                    <w:snapToGrid/>
                    <w:color w:val="575757"/>
                    <w:sz w:val="22"/>
                    <w:szCs w:val="22"/>
                  </w:rPr>
                </w:pPr>
              </w:p>
              <w:p w:rsidR="005B248D" w:rsidRDefault="005B248D" w:rsidP="00292BEF"/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53" w:rsidRDefault="002C0D53" w:rsidP="00292BEF">
      <w:r>
        <w:separator/>
      </w:r>
    </w:p>
  </w:endnote>
  <w:endnote w:type="continuationSeparator" w:id="0">
    <w:p w:rsidR="002C0D53" w:rsidRDefault="002C0D5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53" w:rsidRDefault="002C0D53" w:rsidP="00292BEF">
      <w:r>
        <w:separator/>
      </w:r>
    </w:p>
  </w:footnote>
  <w:footnote w:type="continuationSeparator" w:id="0">
    <w:p w:rsidR="002C0D53" w:rsidRDefault="002C0D5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048A5"/>
    <w:rsid w:val="00036D78"/>
    <w:rsid w:val="00120F7B"/>
    <w:rsid w:val="00162102"/>
    <w:rsid w:val="0017768E"/>
    <w:rsid w:val="00187B59"/>
    <w:rsid w:val="001F0426"/>
    <w:rsid w:val="002223D1"/>
    <w:rsid w:val="00246C4B"/>
    <w:rsid w:val="00292BEF"/>
    <w:rsid w:val="002C0D53"/>
    <w:rsid w:val="002E6A59"/>
    <w:rsid w:val="00306D6B"/>
    <w:rsid w:val="00464C6C"/>
    <w:rsid w:val="004C6910"/>
    <w:rsid w:val="00524024"/>
    <w:rsid w:val="005B248D"/>
    <w:rsid w:val="00764D53"/>
    <w:rsid w:val="00795512"/>
    <w:rsid w:val="007B6610"/>
    <w:rsid w:val="008A0FE1"/>
    <w:rsid w:val="009277F4"/>
    <w:rsid w:val="009A073A"/>
    <w:rsid w:val="009F7390"/>
    <w:rsid w:val="00A04516"/>
    <w:rsid w:val="00A932E2"/>
    <w:rsid w:val="00AF4854"/>
    <w:rsid w:val="00B50056"/>
    <w:rsid w:val="00C06C5C"/>
    <w:rsid w:val="00C42AED"/>
    <w:rsid w:val="00C90ED3"/>
    <w:rsid w:val="00CA07DB"/>
    <w:rsid w:val="00CE30BD"/>
    <w:rsid w:val="00D15A56"/>
    <w:rsid w:val="00D54412"/>
    <w:rsid w:val="00DF1FAB"/>
    <w:rsid w:val="00E05B1E"/>
    <w:rsid w:val="00EA44D2"/>
    <w:rsid w:val="00F971B6"/>
    <w:rsid w:val="00F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E89913-5481-485A-A243-562231B4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464C6C"/>
    <w:rPr>
      <w:color w:val="0000FF"/>
      <w:u w:val="single"/>
    </w:rPr>
  </w:style>
  <w:style w:type="character" w:customStyle="1" w:styleId="citation-publication-date">
    <w:name w:val="citation-publication-date"/>
    <w:basedOn w:val="DefaultParagraphFont"/>
    <w:rsid w:val="00464C6C"/>
  </w:style>
  <w:style w:type="character" w:customStyle="1" w:styleId="doi">
    <w:name w:val="doi"/>
    <w:basedOn w:val="DefaultParagraphFont"/>
    <w:rsid w:val="0046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4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cbi.nlm.nih.gov/pmc/articles/PMC7398993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BC37F3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BC37F3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BC37F3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BC37F3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BC37F3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17F"/>
    <w:rsid w:val="00080ED1"/>
    <w:rsid w:val="00145A2F"/>
    <w:rsid w:val="002F217F"/>
    <w:rsid w:val="0047423F"/>
    <w:rsid w:val="008806B5"/>
    <w:rsid w:val="009612F6"/>
    <w:rsid w:val="00AE3434"/>
    <w:rsid w:val="00BB03C8"/>
    <w:rsid w:val="00BC37F3"/>
    <w:rsid w:val="00DE1A41"/>
    <w:rsid w:val="00DF5B92"/>
    <w:rsid w:val="00F5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Collin Zweifel</cp:lastModifiedBy>
  <cp:revision>5</cp:revision>
  <dcterms:created xsi:type="dcterms:W3CDTF">2011-08-30T13:28:00Z</dcterms:created>
  <dcterms:modified xsi:type="dcterms:W3CDTF">2020-11-11T03:05:00Z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