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D19A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2E07ACE" w14:textId="77777777" w:rsidTr="002E6FF2">
        <w:tc>
          <w:tcPr>
            <w:tcW w:w="8640" w:type="dxa"/>
          </w:tcPr>
          <w:p w14:paraId="6417DF5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766BA5E5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78D3F504" w14:textId="1E02698A" w:rsidR="00692E4D" w:rsidRDefault="00C04BDB" w:rsidP="00C04BDB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5A “Dude, where’s my teeth?”</w:t>
                </w:r>
              </w:p>
            </w:tc>
          </w:sdtContent>
        </w:sdt>
      </w:tr>
      <w:tr w:rsidR="00692E4D" w14:paraId="0D8B86C1" w14:textId="77777777" w:rsidTr="002E6FF2">
        <w:tc>
          <w:tcPr>
            <w:tcW w:w="8640" w:type="dxa"/>
          </w:tcPr>
          <w:p w14:paraId="1AC8344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476FF358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3CBD5B9A" w14:textId="35B43F71" w:rsidR="00692E4D" w:rsidRDefault="00C04BDB" w:rsidP="00C04BDB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Taylor </w:t>
                </w:r>
                <w:proofErr w:type="spellStart"/>
                <w:r>
                  <w:rPr>
                    <w:b/>
                  </w:rPr>
                  <w:t>McElwee</w:t>
                </w:r>
                <w:proofErr w:type="spellEnd"/>
                <w:r>
                  <w:rPr>
                    <w:b/>
                  </w:rPr>
                  <w:t xml:space="preserve">, </w:t>
                </w:r>
                <w:proofErr w:type="spellStart"/>
                <w:r>
                  <w:rPr>
                    <w:b/>
                  </w:rPr>
                  <w:t>Wasef</w:t>
                </w:r>
                <w:proofErr w:type="spellEnd"/>
                <w:r>
                  <w:rPr>
                    <w:b/>
                  </w:rPr>
                  <w:t xml:space="preserve"> Mahmoud, Tatiana McBride, Mariah Kane</w:t>
                </w:r>
              </w:p>
            </w:tc>
          </w:sdtContent>
        </w:sdt>
      </w:tr>
      <w:tr w:rsidR="00692E4D" w14:paraId="5AB14D77" w14:textId="77777777" w:rsidTr="002E6FF2">
        <w:tc>
          <w:tcPr>
            <w:tcW w:w="8640" w:type="dxa"/>
          </w:tcPr>
          <w:p w14:paraId="2CD74CF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13EC8D4E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5EF5B9FA" w14:textId="54D192B5" w:rsidR="00692E4D" w:rsidRDefault="00C04BDB" w:rsidP="00C04BDB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is the etiology of CMT?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92E4D" w14:paraId="0F5C746B" w14:textId="77777777" w:rsidTr="002E6FF2">
        <w:tc>
          <w:tcPr>
            <w:tcW w:w="8640" w:type="dxa"/>
          </w:tcPr>
          <w:p w14:paraId="74F5A8D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3ED1C2F" w14:textId="77777777" w:rsidTr="002E6FF2">
        <w:tc>
          <w:tcPr>
            <w:tcW w:w="8640" w:type="dxa"/>
          </w:tcPr>
          <w:p w14:paraId="68EAD4A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74E345B4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0A5EE0D0" w14:textId="77777777" w:rsidR="00692E4D" w:rsidRDefault="00C95D96" w:rsidP="00C95D9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Congenitally missing 2</w:t>
                </w:r>
                <w:r w:rsidRPr="00C95D96">
                  <w:rPr>
                    <w:b/>
                    <w:vertAlign w:val="superscript"/>
                  </w:rPr>
                  <w:t>nd</w:t>
                </w:r>
                <w:r>
                  <w:rPr>
                    <w:b/>
                  </w:rPr>
                  <w:t xml:space="preserve"> premolars</w:t>
                </w:r>
              </w:p>
            </w:tc>
          </w:sdtContent>
        </w:sdt>
      </w:tr>
      <w:tr w:rsidR="00692E4D" w14:paraId="72BC3E11" w14:textId="77777777" w:rsidTr="002E6FF2">
        <w:tc>
          <w:tcPr>
            <w:tcW w:w="8640" w:type="dxa"/>
          </w:tcPr>
          <w:p w14:paraId="4DF608C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0EA915BF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3AA608B7" w14:textId="77777777" w:rsidR="00692E4D" w:rsidRDefault="00C95D96" w:rsidP="00C95D9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Extracting deciduous second molar</w:t>
                </w:r>
              </w:p>
            </w:tc>
          </w:sdtContent>
        </w:sdt>
      </w:tr>
      <w:tr w:rsidR="00692E4D" w14:paraId="1ED2C91F" w14:textId="77777777" w:rsidTr="002E6FF2">
        <w:tc>
          <w:tcPr>
            <w:tcW w:w="8640" w:type="dxa"/>
          </w:tcPr>
          <w:p w14:paraId="07B3FBE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4F422C9D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177A70B2" w14:textId="77777777" w:rsidR="00692E4D" w:rsidRDefault="00C95D96" w:rsidP="00C95D9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Retaining deciduous molar</w:t>
                </w:r>
              </w:p>
            </w:tc>
          </w:sdtContent>
        </w:sdt>
      </w:tr>
      <w:tr w:rsidR="00692E4D" w14:paraId="45FEFB97" w14:textId="77777777" w:rsidTr="002E6FF2">
        <w:tc>
          <w:tcPr>
            <w:tcW w:w="8640" w:type="dxa"/>
          </w:tcPr>
          <w:p w14:paraId="38B6559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3701A84F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6206B95A" w14:textId="77777777" w:rsidR="00692E4D" w:rsidRDefault="00C95D96" w:rsidP="00C95D9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Better restorative option/management</w:t>
                </w:r>
              </w:p>
            </w:tc>
          </w:sdtContent>
        </w:sdt>
      </w:tr>
      <w:tr w:rsidR="00692E4D" w14:paraId="5BE51674" w14:textId="77777777" w:rsidTr="002E6FF2">
        <w:tc>
          <w:tcPr>
            <w:tcW w:w="8640" w:type="dxa"/>
          </w:tcPr>
          <w:p w14:paraId="55A2A6C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269E663E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7E9B4B22" w14:textId="2920A742" w:rsidR="00692E4D" w:rsidRDefault="00684185" w:rsidP="00C95D9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Amo</w:t>
                </w:r>
                <w:r w:rsidR="00C95D96">
                  <w:rPr>
                    <w:b/>
                  </w:rPr>
                  <w:t>ng patients with congenitally missing second premolars, does extracting the deciduous second molar (allowing the first molar to drift) versus retaining the deciduous molar for as long as possible (then seen a pros solution) lead to better restorative management?</w:t>
                </w:r>
              </w:p>
            </w:tc>
          </w:sdtContent>
        </w:sdt>
      </w:tr>
      <w:tr w:rsidR="00692E4D" w14:paraId="15A913CF" w14:textId="77777777" w:rsidTr="002E6FF2">
        <w:tc>
          <w:tcPr>
            <w:tcW w:w="8640" w:type="dxa"/>
          </w:tcPr>
          <w:p w14:paraId="25C51AF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7C052026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1269B302" w14:textId="77777777" w:rsidR="00692E4D" w:rsidRDefault="00C95D96" w:rsidP="00C95D9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treatment should the patient have going forward to allow the best restorative option considering his congenitally missing second premolars?</w:t>
                </w:r>
              </w:p>
            </w:tc>
          </w:sdtContent>
        </w:sdt>
      </w:tr>
      <w:tr w:rsidR="00692E4D" w14:paraId="417C565E" w14:textId="77777777" w:rsidTr="002E6FF2">
        <w:tc>
          <w:tcPr>
            <w:tcW w:w="8640" w:type="dxa"/>
          </w:tcPr>
          <w:p w14:paraId="6BAF5C7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54568BC9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5A0A3315" w14:textId="77777777" w:rsidR="00692E4D" w:rsidRDefault="00C95D96" w:rsidP="00C95D9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11/4/2020; 11/5/2020</w:t>
                </w:r>
              </w:p>
            </w:tc>
          </w:sdtContent>
        </w:sdt>
      </w:tr>
      <w:tr w:rsidR="00692E4D" w14:paraId="301A1755" w14:textId="77777777" w:rsidTr="002E6FF2">
        <w:tc>
          <w:tcPr>
            <w:tcW w:w="8640" w:type="dxa"/>
          </w:tcPr>
          <w:p w14:paraId="173D921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6CAE19DD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73FDDA56" w14:textId="77777777" w:rsidR="00692E4D" w:rsidRPr="00974240" w:rsidRDefault="00E7745A" w:rsidP="00E7745A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 and Google Scholar</w:t>
                </w:r>
              </w:p>
            </w:tc>
          </w:sdtContent>
        </w:sdt>
      </w:tr>
      <w:tr w:rsidR="00692E4D" w14:paraId="54A6B4BF" w14:textId="77777777" w:rsidTr="002E6FF2">
        <w:tc>
          <w:tcPr>
            <w:tcW w:w="8640" w:type="dxa"/>
          </w:tcPr>
          <w:p w14:paraId="6E23209A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78483BB4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1A70E685" w14:textId="77777777" w:rsidR="00692E4D" w:rsidRPr="00974240" w:rsidRDefault="000F5671" w:rsidP="000F567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Focused on congenitally missing premolars, specifically second premolars; restorative management; retaining deciduous molar and extraction.</w:t>
                </w:r>
              </w:p>
            </w:tc>
          </w:sdtContent>
        </w:sdt>
      </w:tr>
      <w:tr w:rsidR="00692E4D" w14:paraId="2EFBB6F4" w14:textId="77777777" w:rsidTr="002E6FF2">
        <w:tc>
          <w:tcPr>
            <w:tcW w:w="8640" w:type="dxa"/>
          </w:tcPr>
          <w:p w14:paraId="06275BD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518A2DFD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09A672AE" w14:textId="77777777" w:rsidR="00692E4D" w:rsidRPr="00974240" w:rsidRDefault="000F5671" w:rsidP="000F5671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Congenitally missing premolars, management, outcome, permanent missing premolar, rehabilitation, preservation of deciduous teeth</w:t>
                </w:r>
              </w:p>
            </w:tc>
          </w:sdtContent>
        </w:sdt>
      </w:tr>
      <w:tr w:rsidR="00692E4D" w14:paraId="22AFD300" w14:textId="77777777" w:rsidTr="002E6FF2">
        <w:tc>
          <w:tcPr>
            <w:tcW w:w="8640" w:type="dxa"/>
          </w:tcPr>
          <w:p w14:paraId="3D13264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4B1E951A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5C80C54E" w14:textId="77777777" w:rsidR="00000000" w:rsidRPr="000E1952" w:rsidRDefault="00693040" w:rsidP="000E1952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0E1952">
                  <w:rPr>
                    <w:b/>
                    <w:lang w:val="en-GB"/>
                  </w:rPr>
                  <w:t>Terheyden</w:t>
                </w:r>
                <w:proofErr w:type="spellEnd"/>
                <w:r w:rsidRPr="000E1952">
                  <w:rPr>
                    <w:b/>
                    <w:lang w:val="en-GB"/>
                  </w:rPr>
                  <w:t xml:space="preserve">, H., &amp; </w:t>
                </w:r>
                <w:proofErr w:type="spellStart"/>
                <w:r w:rsidRPr="000E1952">
                  <w:rPr>
                    <w:b/>
                    <w:lang w:val="en-GB"/>
                  </w:rPr>
                  <w:t>Wüsthoff</w:t>
                </w:r>
                <w:proofErr w:type="spellEnd"/>
                <w:r w:rsidRPr="000E1952">
                  <w:rPr>
                    <w:b/>
                    <w:lang w:val="en-GB"/>
                  </w:rPr>
                  <w:t xml:space="preserve">, F. (2015). Occlusal rehabilitation in patients with congenitally missing teeth-dental implants, conventional prosthetics, tooth </w:t>
                </w:r>
                <w:proofErr w:type="spellStart"/>
                <w:r w:rsidRPr="000E1952">
                  <w:rPr>
                    <w:b/>
                    <w:lang w:val="en-GB"/>
                  </w:rPr>
                  <w:t>autotransplants</w:t>
                </w:r>
                <w:proofErr w:type="spellEnd"/>
                <w:r w:rsidRPr="000E1952">
                  <w:rPr>
                    <w:b/>
                    <w:lang w:val="en-GB"/>
                  </w:rPr>
                  <w:t xml:space="preserve">, </w:t>
                </w:r>
                <w:r w:rsidRPr="000E1952">
                  <w:rPr>
                    <w:b/>
                    <w:lang w:val="en-GB"/>
                  </w:rPr>
                  <w:t xml:space="preserve">and preservation of deciduous teeth-a systematic </w:t>
                </w:r>
                <w:r w:rsidRPr="000E1952">
                  <w:rPr>
                    <w:b/>
                    <w:lang w:val="en-GB"/>
                  </w:rPr>
                  <w:lastRenderedPageBreak/>
                  <w:t>review. </w:t>
                </w:r>
                <w:r w:rsidRPr="000E1952">
                  <w:rPr>
                    <w:b/>
                    <w:i/>
                    <w:iCs/>
                    <w:lang w:val="en-GB"/>
                  </w:rPr>
                  <w:t>International journal of implant dentistry</w:t>
                </w:r>
                <w:r w:rsidRPr="000E1952">
                  <w:rPr>
                    <w:b/>
                    <w:lang w:val="en-GB"/>
                  </w:rPr>
                  <w:t>, </w:t>
                </w:r>
                <w:r w:rsidRPr="000E1952">
                  <w:rPr>
                    <w:b/>
                    <w:i/>
                    <w:iCs/>
                    <w:lang w:val="en-GB"/>
                  </w:rPr>
                  <w:t>1</w:t>
                </w:r>
                <w:r w:rsidRPr="000E1952">
                  <w:rPr>
                    <w:b/>
                    <w:lang w:val="en-GB"/>
                  </w:rPr>
                  <w:t>(1), 30. https://doi.org/10.1186/s40729-015-0025-z</w:t>
                </w:r>
              </w:p>
              <w:p w14:paraId="4E3E67BD" w14:textId="6A305D86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2665C3E0" w14:textId="77777777" w:rsidTr="002E6FF2">
        <w:tc>
          <w:tcPr>
            <w:tcW w:w="8640" w:type="dxa"/>
          </w:tcPr>
          <w:p w14:paraId="6F4ADF4F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14:paraId="1F2A7243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29182AB0" w14:textId="45211539" w:rsidR="00692E4D" w:rsidRPr="006A2AEF" w:rsidRDefault="000E1952" w:rsidP="000E195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</w:t>
                </w:r>
              </w:p>
            </w:tc>
          </w:sdtContent>
        </w:sdt>
      </w:tr>
      <w:tr w:rsidR="00692E4D" w14:paraId="331C1F02" w14:textId="77777777" w:rsidTr="002E6FF2">
        <w:tc>
          <w:tcPr>
            <w:tcW w:w="8640" w:type="dxa"/>
          </w:tcPr>
          <w:p w14:paraId="3A6E4364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6465954C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58DE54BC" w14:textId="63226C26" w:rsidR="00692E4D" w:rsidRPr="000E1952" w:rsidRDefault="00693040" w:rsidP="000E1952">
                <w:pPr>
                  <w:numPr>
                    <w:ilvl w:val="0"/>
                    <w:numId w:val="11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This r</w:t>
                </w:r>
                <w:r w:rsidRPr="000E1952">
                  <w:rPr>
                    <w:b/>
                  </w:rPr>
                  <w:t>eport directly relates to the PICO question and addresses treatment of CMT</w:t>
                </w:r>
              </w:p>
            </w:tc>
          </w:sdtContent>
        </w:sdt>
      </w:tr>
      <w:tr w:rsidR="00692E4D" w14:paraId="0EA27B11" w14:textId="77777777" w:rsidTr="002E6FF2">
        <w:tc>
          <w:tcPr>
            <w:tcW w:w="8640" w:type="dxa"/>
          </w:tcPr>
          <w:p w14:paraId="281D7F1E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6B4B8440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3759A131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In patients with CMT does:</w:t>
                </w:r>
              </w:p>
              <w:p w14:paraId="0489AF2B" w14:textId="77777777" w:rsidR="00000000" w:rsidRPr="000E1952" w:rsidRDefault="00693040" w:rsidP="000E1952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 xml:space="preserve">Dental implants, </w:t>
                </w:r>
                <w:proofErr w:type="spellStart"/>
                <w:r w:rsidRPr="000E1952">
                  <w:rPr>
                    <w:b/>
                  </w:rPr>
                  <w:t>auto</w:t>
                </w:r>
                <w:r w:rsidRPr="000E1952">
                  <w:rPr>
                    <w:b/>
                  </w:rPr>
                  <w:t>transplants</w:t>
                </w:r>
                <w:proofErr w:type="spellEnd"/>
                <w:r w:rsidRPr="000E1952">
                  <w:rPr>
                    <w:b/>
                  </w:rPr>
                  <w:t>, conventional prosthetics on teeth, or preservation of deciduous teeth have a better survival outcome</w:t>
                </w:r>
              </w:p>
              <w:p w14:paraId="3111BA59" w14:textId="77777777" w:rsidR="00000000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Electronic search with a total of 63 relevant studies</w:t>
                </w:r>
              </w:p>
              <w:p w14:paraId="0EB3BA46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Survival rate; failure rate:</w:t>
                </w:r>
              </w:p>
              <w:p w14:paraId="1FFDB785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Implants: 95.3% and 3.317%</w:t>
                </w:r>
              </w:p>
              <w:p w14:paraId="6376239C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proofErr w:type="spellStart"/>
                <w:r w:rsidRPr="000E1952">
                  <w:rPr>
                    <w:b/>
                  </w:rPr>
                  <w:t>Autotransplants</w:t>
                </w:r>
                <w:proofErr w:type="spellEnd"/>
                <w:r w:rsidRPr="000E1952">
                  <w:rPr>
                    <w:b/>
                  </w:rPr>
                  <w:t xml:space="preserve">: 94.4% </w:t>
                </w:r>
                <w:r w:rsidRPr="000E1952">
                  <w:rPr>
                    <w:b/>
                  </w:rPr>
                  <w:t>and 1.061%</w:t>
                </w:r>
              </w:p>
              <w:p w14:paraId="4640FDA6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Deciduous teeth: 89.6% and 0.908%</w:t>
                </w:r>
              </w:p>
              <w:p w14:paraId="464FAB50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Conventional prostheses: 60.2% and 5.144%</w:t>
                </w:r>
              </w:p>
              <w:p w14:paraId="796BE603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Therefore:</w:t>
                </w:r>
              </w:p>
              <w:p w14:paraId="3B640C02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 xml:space="preserve"> implants had the best outcome (however, not in patients younger than 13) </w:t>
                </w:r>
              </w:p>
              <w:p w14:paraId="082D7994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proofErr w:type="spellStart"/>
                <w:r w:rsidRPr="000E1952">
                  <w:rPr>
                    <w:b/>
                  </w:rPr>
                  <w:t>Autotrasplant</w:t>
                </w:r>
                <w:proofErr w:type="spellEnd"/>
                <w:r w:rsidRPr="000E1952">
                  <w:rPr>
                    <w:b/>
                  </w:rPr>
                  <w:t xml:space="preserve"> and deciduous teeth had very low f</w:t>
                </w:r>
                <w:r w:rsidRPr="000E1952">
                  <w:rPr>
                    <w:b/>
                  </w:rPr>
                  <w:t>ailure rates and would be appropriate treatment options for children</w:t>
                </w:r>
              </w:p>
              <w:p w14:paraId="539DD5DE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 xml:space="preserve">Conventional prosthetics had low survival rates and high failure rates compared to the rest of the options and would not </w:t>
                </w:r>
                <w:r w:rsidRPr="000E1952">
                  <w:rPr>
                    <w:b/>
                  </w:rPr>
                  <w:t>be recommended based on this study</w:t>
                </w:r>
              </w:p>
              <w:p w14:paraId="0F67C094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 xml:space="preserve">Limitations: </w:t>
                </w:r>
              </w:p>
              <w:p w14:paraId="1A53B45A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 xml:space="preserve">Implants were included in the study as a potential treatment option which </w:t>
                </w:r>
                <w:r w:rsidRPr="000E1952">
                  <w:rPr>
                    <w:b/>
                  </w:rPr>
                  <w:t>is not part of the PICO question</w:t>
                </w:r>
              </w:p>
              <w:p w14:paraId="183A9838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 xml:space="preserve">Some of the studies included were retrospective </w:t>
                </w:r>
              </w:p>
              <w:p w14:paraId="1AEE66AD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Low number of studies</w:t>
                </w:r>
              </w:p>
              <w:p w14:paraId="46E5B584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Some cases used data from patient reported outcomes</w:t>
                </w:r>
              </w:p>
              <w:p w14:paraId="75716B68" w14:textId="77777777" w:rsidR="00000000" w:rsidRPr="000E1952" w:rsidRDefault="00693040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0E1952">
                  <w:rPr>
                    <w:b/>
                  </w:rPr>
                  <w:t>Therefore, the outcomes of this study need to be looked at with caution</w:t>
                </w:r>
              </w:p>
              <w:p w14:paraId="11AB4C2E" w14:textId="77777777" w:rsidR="000E1952" w:rsidRPr="000E1952" w:rsidRDefault="000E1952" w:rsidP="000E1952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</w:p>
              <w:p w14:paraId="0A57F480" w14:textId="30AEA76C"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313DBE68" w14:textId="77777777" w:rsidTr="002E6FF2">
        <w:tc>
          <w:tcPr>
            <w:tcW w:w="8640" w:type="dxa"/>
          </w:tcPr>
          <w:p w14:paraId="4B1D7C77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453CCCC1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4887D4B1" w14:textId="33E3CE1D" w:rsidR="004816C3" w:rsidRPr="009A3ACA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952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1DF75635" w14:textId="77777777" w:rsidR="004816C3" w:rsidRPr="009A3ACA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34B2E2CE" w14:textId="77777777" w:rsidR="004816C3" w:rsidRPr="009A3ACA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4DB3D17A" w14:textId="77777777" w:rsidR="004816C3" w:rsidRPr="00E2331B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06780A98" w14:textId="77777777" w:rsidR="004816C3" w:rsidRPr="00E2331B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463B1175" w14:textId="77777777" w:rsidR="004816C3" w:rsidRPr="00E2331B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63197DBC" w14:textId="77777777" w:rsidR="004816C3" w:rsidRPr="00944D52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63F97308" w14:textId="77777777" w:rsidR="004816C3" w:rsidRPr="00944D52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73BEDCA9" w14:textId="77777777" w:rsidR="004816C3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7C2428AA" w14:textId="77777777" w:rsidR="004816C3" w:rsidRDefault="00693040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123909E8" w14:textId="77777777" w:rsidR="00692E4D" w:rsidRPr="004816C3" w:rsidRDefault="00693040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45DFCD85" w14:textId="77777777" w:rsidTr="002E6FF2">
        <w:tc>
          <w:tcPr>
            <w:tcW w:w="8640" w:type="dxa"/>
          </w:tcPr>
          <w:p w14:paraId="28BE6D4E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2C7414C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C4E5FD9" w14:textId="77777777" w:rsidR="00692E4D" w:rsidRDefault="0069304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65BFF932" w14:textId="1B0CCFD2" w:rsidR="00692E4D" w:rsidRDefault="0069304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952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0C7ECA0" w14:textId="77777777" w:rsidR="00692E4D" w:rsidRDefault="00693040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60CD7A75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5CB1193B" w14:textId="77777777" w:rsidTr="002E6FF2">
        <w:tc>
          <w:tcPr>
            <w:tcW w:w="8640" w:type="dxa"/>
          </w:tcPr>
          <w:p w14:paraId="35DC3A3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7A09E86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098A56C7" w14:textId="77777777" w:rsidR="00E26393" w:rsidRPr="00E26393" w:rsidRDefault="00E26393" w:rsidP="00E26393">
                <w:pPr>
                  <w:ind w:left="0"/>
                  <w:rPr>
                    <w:b/>
                  </w:rPr>
                </w:pPr>
                <w:r w:rsidRPr="00E26393">
                  <w:rPr>
                    <w:b/>
                  </w:rPr>
                  <w:t>How does the evidence apply to this patient?</w:t>
                </w:r>
              </w:p>
              <w:p w14:paraId="1B2FB95B" w14:textId="77777777" w:rsidR="00000000" w:rsidRPr="00E26393" w:rsidRDefault="00693040" w:rsidP="00E26393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E26393">
                  <w:rPr>
                    <w:b/>
                  </w:rPr>
                  <w:t xml:space="preserve">The literature available does show that retaining the deciduous molar has a better </w:t>
                </w:r>
                <w:r w:rsidRPr="00E26393">
                  <w:rPr>
                    <w:b/>
                  </w:rPr>
                  <w:t xml:space="preserve">survival rate and lower failure rate when compared to extracting, space maintaining, and put prosthetic on later </w:t>
                </w:r>
              </w:p>
              <w:p w14:paraId="10E6A038" w14:textId="77777777" w:rsidR="00000000" w:rsidRPr="00E26393" w:rsidRDefault="00693040" w:rsidP="00E26393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E26393">
                  <w:rPr>
                    <w:b/>
                  </w:rPr>
                  <w:t xml:space="preserve">However, this should </w:t>
                </w:r>
                <w:proofErr w:type="gramStart"/>
                <w:r w:rsidRPr="00E26393">
                  <w:rPr>
                    <w:b/>
                  </w:rPr>
                  <w:t>looked</w:t>
                </w:r>
                <w:proofErr w:type="gramEnd"/>
                <w:r w:rsidRPr="00E26393">
                  <w:rPr>
                    <w:b/>
                  </w:rPr>
                  <w:t xml:space="preserve"> at with caution as there was a small amount of s</w:t>
                </w:r>
                <w:r w:rsidRPr="00E26393">
                  <w:rPr>
                    <w:b/>
                  </w:rPr>
                  <w:t>tudies available</w:t>
                </w:r>
              </w:p>
              <w:p w14:paraId="7A9D34BF" w14:textId="77777777" w:rsidR="00000000" w:rsidRPr="00E26393" w:rsidRDefault="00693040" w:rsidP="00E26393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E26393">
                  <w:rPr>
                    <w:b/>
                  </w:rPr>
                  <w:t>Specialist consult: recommended to retain as well</w:t>
                </w:r>
              </w:p>
              <w:p w14:paraId="7BFD6A43" w14:textId="77777777" w:rsidR="00E26393" w:rsidRPr="00E26393" w:rsidRDefault="00E26393" w:rsidP="00E26393">
                <w:pPr>
                  <w:ind w:left="0" w:firstLine="0"/>
                  <w:rPr>
                    <w:b/>
                  </w:rPr>
                </w:pPr>
                <w:r w:rsidRPr="00E26393">
                  <w:rPr>
                    <w:b/>
                  </w:rPr>
                  <w:t>Based on the above considerations, how will you advise your D4?</w:t>
                </w:r>
              </w:p>
              <w:p w14:paraId="1121C574" w14:textId="43E27551" w:rsidR="002972EE" w:rsidRDefault="00E26393" w:rsidP="00E26393">
                <w:pPr>
                  <w:ind w:left="0" w:firstLine="0"/>
                </w:pPr>
                <w:r w:rsidRPr="00E26393">
                  <w:rPr>
                    <w:b/>
                  </w:rPr>
                  <w:t>-retain deciduous molar</w:t>
                </w:r>
              </w:p>
            </w:tc>
          </w:sdtContent>
        </w:sdt>
      </w:tr>
    </w:tbl>
    <w:p w14:paraId="47EE5B0A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1E2758BD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668416C9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746B0BD6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9B20362" w14:textId="77777777" w:rsidR="003B2868" w:rsidRDefault="003B2868" w:rsidP="00692E4D">
      <w:pPr>
        <w:ind w:left="0" w:firstLine="0"/>
        <w:rPr>
          <w:b/>
        </w:rPr>
      </w:pPr>
    </w:p>
    <w:p w14:paraId="4D389D25" w14:textId="77777777" w:rsidR="006A2AEF" w:rsidRDefault="006A2AEF" w:rsidP="00692E4D">
      <w:pPr>
        <w:pStyle w:val="ColorfulList-Accent11"/>
        <w:ind w:left="0" w:firstLine="0"/>
      </w:pPr>
    </w:p>
    <w:p w14:paraId="0FF1666B" w14:textId="77777777" w:rsidR="003B2868" w:rsidRPr="00746A56" w:rsidRDefault="003B2868" w:rsidP="00692E4D">
      <w:pPr>
        <w:pStyle w:val="ColorfulList-Accent11"/>
        <w:ind w:left="0" w:firstLine="0"/>
      </w:pPr>
    </w:p>
    <w:p w14:paraId="3AF2BF68" w14:textId="77777777" w:rsidR="004112F5" w:rsidRDefault="004112F5" w:rsidP="00692E4D">
      <w:pPr>
        <w:ind w:left="0" w:firstLine="0"/>
      </w:pPr>
    </w:p>
    <w:p w14:paraId="0DA5DCE4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2F17BDB8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A1AE" w14:textId="77777777" w:rsidR="00693040" w:rsidRDefault="00693040" w:rsidP="00692E4D">
      <w:pPr>
        <w:spacing w:after="0" w:line="240" w:lineRule="auto"/>
      </w:pPr>
      <w:r>
        <w:separator/>
      </w:r>
    </w:p>
  </w:endnote>
  <w:endnote w:type="continuationSeparator" w:id="0">
    <w:p w14:paraId="646AA390" w14:textId="77777777" w:rsidR="00693040" w:rsidRDefault="00693040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28819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6F5F" w14:textId="77777777" w:rsidR="00693040" w:rsidRDefault="00693040" w:rsidP="00692E4D">
      <w:pPr>
        <w:spacing w:after="0" w:line="240" w:lineRule="auto"/>
      </w:pPr>
      <w:r>
        <w:separator/>
      </w:r>
    </w:p>
  </w:footnote>
  <w:footnote w:type="continuationSeparator" w:id="0">
    <w:p w14:paraId="36E4047F" w14:textId="77777777" w:rsidR="00693040" w:rsidRDefault="00693040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EC2F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C387A8C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4DC244E5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AF0"/>
    <w:multiLevelType w:val="hybridMultilevel"/>
    <w:tmpl w:val="F014D7FC"/>
    <w:lvl w:ilvl="0" w:tplc="A0AECA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5ED28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6A1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C6C1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E231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2682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084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277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8E3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A04838"/>
    <w:multiLevelType w:val="hybridMultilevel"/>
    <w:tmpl w:val="7E061EE8"/>
    <w:lvl w:ilvl="0" w:tplc="2D9628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A00B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BE7D6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642F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9C52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69FB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FCE25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CFE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C6B4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B233F0"/>
    <w:multiLevelType w:val="hybridMultilevel"/>
    <w:tmpl w:val="959052A2"/>
    <w:lvl w:ilvl="0" w:tplc="6CB82E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CC0B6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647A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E6B8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E43B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EAAE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5AFE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2AFE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47D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A1C77"/>
    <w:multiLevelType w:val="hybridMultilevel"/>
    <w:tmpl w:val="5DBC7376"/>
    <w:lvl w:ilvl="0" w:tplc="EBB668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A2C4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8B5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BA45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4B3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5E4D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A6A4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980F6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2F89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8D070E3"/>
    <w:multiLevelType w:val="hybridMultilevel"/>
    <w:tmpl w:val="200011B4"/>
    <w:lvl w:ilvl="0" w:tplc="72DE1D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4631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EB2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EE2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EAB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6CD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16B4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8AA3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4FC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DA1AEF"/>
    <w:multiLevelType w:val="hybridMultilevel"/>
    <w:tmpl w:val="D23857CE"/>
    <w:lvl w:ilvl="0" w:tplc="D0F02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8AF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425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AD2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0A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465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28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259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41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F5"/>
    <w:rsid w:val="000353D8"/>
    <w:rsid w:val="000573BB"/>
    <w:rsid w:val="000E1952"/>
    <w:rsid w:val="000F5671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84185"/>
    <w:rsid w:val="00692E4D"/>
    <w:rsid w:val="00693040"/>
    <w:rsid w:val="006A2AEF"/>
    <w:rsid w:val="006A5E4B"/>
    <w:rsid w:val="007278F8"/>
    <w:rsid w:val="00746A56"/>
    <w:rsid w:val="007F365A"/>
    <w:rsid w:val="0084217E"/>
    <w:rsid w:val="008A3451"/>
    <w:rsid w:val="00A228DA"/>
    <w:rsid w:val="00C04BDB"/>
    <w:rsid w:val="00C95D96"/>
    <w:rsid w:val="00DD26F4"/>
    <w:rsid w:val="00E26393"/>
    <w:rsid w:val="00E4293E"/>
    <w:rsid w:val="00E7745A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B043CA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6393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56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6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34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73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57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59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77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7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58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36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75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6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2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73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68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7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6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ebm.net/index.aspx?o=1025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F"/>
    <w:rsid w:val="00041371"/>
    <w:rsid w:val="00104690"/>
    <w:rsid w:val="0028328F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Rachel Bohn</cp:lastModifiedBy>
  <cp:revision>2</cp:revision>
  <dcterms:created xsi:type="dcterms:W3CDTF">2020-11-11T04:07:00Z</dcterms:created>
  <dcterms:modified xsi:type="dcterms:W3CDTF">2020-11-11T04:07:00Z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