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701341" w:rsidP="00875E38">
                <w:r>
                  <w:t>Hanna Punnoose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701341" w:rsidP="009F7390">
                <w:r>
                  <w:t>4</w:t>
                </w:r>
                <w:r w:rsidR="00A53800">
                  <w:t>B-2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FE559E" w:rsidP="00292BEF">
                <w:r>
                  <w:rPr>
                    <w:rStyle w:val="PlaceholderText"/>
                  </w:rPr>
                  <w:t>What are caries disease indicators and how do they present in the oral cavity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EB0DBC" w:rsidRDefault="009A6089" w:rsidP="00292BEF">
                <w:r>
                  <w:tab/>
                </w:r>
                <w:r w:rsidR="00B26D96">
                  <w:t>Dental</w:t>
                </w:r>
                <w:r w:rsidR="00135068">
                  <w:t xml:space="preserve"> caries are quite a prominent disease among people today. Much is being done to treat dental caries, but methods of prevention are lacking. There are many indicators that can foresee or predict</w:t>
                </w:r>
                <w:r w:rsidR="00843274">
                  <w:t xml:space="preserve"> the progression of Caries in the dentition.</w:t>
                </w:r>
                <w:r w:rsidR="008E669F">
                  <w:t xml:space="preserve"> </w:t>
                </w:r>
                <w:r w:rsidR="00F809A0">
                  <w:t xml:space="preserve">Caries is the result of the interaction between </w:t>
                </w:r>
                <w:r w:rsidR="00D830D7">
                  <w:t xml:space="preserve">specific </w:t>
                </w:r>
                <w:r w:rsidR="00F809A0">
                  <w:t>micr</w:t>
                </w:r>
                <w:r w:rsidR="00D830D7">
                  <w:t>o</w:t>
                </w:r>
                <w:r w:rsidR="00F809A0">
                  <w:t>organisms and carbohydrates overtime.</w:t>
                </w:r>
                <w:r w:rsidR="00D830D7">
                  <w:t xml:space="preserve"> </w:t>
                </w:r>
                <w:r w:rsidR="00B26D96">
                  <w:t>Tooth structure tends to remineralize and demineralize. If this balance is thrown off, and there is more demineralization, a lesion</w:t>
                </w:r>
                <w:r w:rsidR="00C43721">
                  <w:t xml:space="preserve"> </w:t>
                </w:r>
                <w:r w:rsidR="00B26D96">
                  <w:t>will form signifying disease.</w:t>
                </w:r>
                <w:r w:rsidR="001C6048">
                  <w:t xml:space="preserve"> </w:t>
                </w:r>
                <w:r w:rsidR="001C6048">
                  <w:rPr>
                    <w:lang w:val="x-none"/>
                  </w:rPr>
                  <w:t>The car</w:t>
                </w:r>
                <w:r w:rsidR="001C6048">
                  <w:t xml:space="preserve">ies </w:t>
                </w:r>
                <w:r w:rsidR="001C6048">
                  <w:rPr>
                    <w:lang w:val="x-none"/>
                  </w:rPr>
                  <w:t>process can eventually progress into cavitation.</w:t>
                </w:r>
                <w:r w:rsidR="00725735">
                  <w:t xml:space="preserve"> </w:t>
                </w:r>
                <w:r w:rsidR="008A50F9">
                  <w:rPr>
                    <w:lang w:val="x-none"/>
                  </w:rPr>
                  <w:t xml:space="preserve">These are often treated by operators, even though the lesion </w:t>
                </w:r>
                <w:r w:rsidR="008A50F9">
                  <w:t>can progress and lead to further invasive treatment</w:t>
                </w:r>
                <w:r w:rsidR="008A50F9">
                  <w:rPr>
                    <w:lang w:val="x-none"/>
                  </w:rPr>
                  <w:t xml:space="preserve">. </w:t>
                </w:r>
                <w:r w:rsidR="0003287D">
                  <w:rPr>
                    <w:lang w:val="x-none"/>
                  </w:rPr>
                  <w:t xml:space="preserve">With a larger focus on prevention and indicators of the disease process, the amount of invasive treatment can be reduced allowing for a better quality </w:t>
                </w:r>
                <w:r w:rsidR="00B20A81">
                  <w:t>dentition</w:t>
                </w:r>
                <w:r w:rsidR="0003287D">
                  <w:t>.</w:t>
                </w:r>
              </w:p>
              <w:p w:rsidR="005B248D" w:rsidRPr="00C03432" w:rsidRDefault="00EB0DBC" w:rsidP="00292BEF">
                <w:pPr>
                  <w:rPr>
                    <w:lang w:val="x-none"/>
                  </w:rPr>
                </w:pPr>
                <w:r>
                  <w:tab/>
                </w:r>
                <w:r w:rsidR="00522751">
                  <w:t xml:space="preserve">In order to combat caries in the dentition, signs need to be looked at that will indicate </w:t>
                </w:r>
                <w:r w:rsidR="00490A7F">
                  <w:t>the</w:t>
                </w:r>
                <w:r w:rsidR="00522751">
                  <w:t xml:space="preserve"> disease process</w:t>
                </w:r>
                <w:r w:rsidR="00CE78FE">
                  <w:rPr>
                    <w:lang w:val="x-none"/>
                  </w:rPr>
                  <w:t xml:space="preserve">. </w:t>
                </w:r>
                <w:r w:rsidR="0081217F">
                  <w:rPr>
                    <w:lang w:val="x-none"/>
                  </w:rPr>
                  <w:t>Indicators can be defined as physical signs of dental caries or past car</w:t>
                </w:r>
                <w:r w:rsidR="004E6894">
                  <w:t xml:space="preserve">ies </w:t>
                </w:r>
                <w:r w:rsidR="0081217F">
                  <w:rPr>
                    <w:lang w:val="x-none"/>
                  </w:rPr>
                  <w:t>disease history and activity. These can predict what will happen and thereby sho</w:t>
                </w:r>
                <w:r w:rsidR="00A63DBF">
                  <w:t xml:space="preserve">w </w:t>
                </w:r>
                <w:r w:rsidR="0081217F">
                  <w:rPr>
                    <w:lang w:val="x-none"/>
                  </w:rPr>
                  <w:t>the need for therapeutic interventi</w:t>
                </w:r>
                <w:r w:rsidR="0081217F">
                  <w:t xml:space="preserve">on. </w:t>
                </w:r>
                <w:r w:rsidR="0026408E">
                  <w:t>Indicators</w:t>
                </w:r>
                <w:r w:rsidR="00A14554">
                  <w:t xml:space="preserve"> of the car</w:t>
                </w:r>
                <w:r w:rsidR="00A63DBF">
                  <w:t>ies</w:t>
                </w:r>
                <w:r w:rsidR="00A14554">
                  <w:t xml:space="preserve"> disease process include, but are not limited to white spots on smooth surfaces, previous restorations within the past three years from caries, lesions approximating enamel visible on the radiographs, a</w:t>
                </w:r>
                <w:r w:rsidR="00042F09">
                  <w:t>nd various cavitation with radiographic penetration into the dentin.</w:t>
                </w:r>
                <w:r w:rsidR="006F4B21">
                  <w:rPr>
                    <w:lang w:val="x-none"/>
                  </w:rPr>
                  <w:t>White spot lesions</w:t>
                </w:r>
                <w:r w:rsidR="007F1060">
                  <w:t>,</w:t>
                </w:r>
                <w:r w:rsidR="006F4B21">
                  <w:rPr>
                    <w:lang w:val="x-none"/>
                  </w:rPr>
                  <w:t xml:space="preserve"> although they can indicate the early stages of carries progression, it also presents an opportunity to arrest the carries</w:t>
                </w:r>
                <w:r w:rsidR="006F4B21">
                  <w:t xml:space="preserve">. </w:t>
                </w:r>
                <w:r w:rsidR="00DE72C4">
                  <w:t>It gives the operator a chance to slow the progression before invasive treatment if recognized in time</w:t>
                </w:r>
                <w:r w:rsidR="00DE72C4">
                  <w:rPr>
                    <w:lang w:val="x-none"/>
                  </w:rPr>
                  <w:t>.</w:t>
                </w:r>
                <w:r w:rsidR="00E62215">
                  <w:t xml:space="preserve"> Previous restorations can also be an indicator as having a risk for car</w:t>
                </w:r>
                <w:r w:rsidR="000A28CE">
                  <w:t xml:space="preserve">ies </w:t>
                </w:r>
                <w:r w:rsidR="00E62215">
                  <w:t>or even secondary</w:t>
                </w:r>
                <w:r w:rsidR="00C03432">
                  <w:t xml:space="preserve"> caries. </w:t>
                </w:r>
                <w:r w:rsidR="006C70AB">
                  <w:t>Radiographs can also be a helpful tool to indicate caries.</w:t>
                </w:r>
                <w:r w:rsidR="008240DA">
                  <w:t xml:space="preserve"> Lesions approximating enamel may not be easily visible to the eye, but upon radiographic analysis</w:t>
                </w:r>
                <w:r w:rsidR="00B140E9">
                  <w:t xml:space="preserve">, </w:t>
                </w:r>
                <w:r w:rsidR="008240DA">
                  <w:t>the lesion can be seen so it can be treated in advance.</w:t>
                </w:r>
                <w:r w:rsidR="00B140E9">
                  <w:t xml:space="preserve"> </w:t>
                </w:r>
                <w:r w:rsidR="001D3B9F">
                  <w:t xml:space="preserve">In addition, the extent of </w:t>
                </w:r>
                <w:proofErr w:type="spellStart"/>
                <w:r w:rsidR="001D3B9F">
                  <w:t>cavitated</w:t>
                </w:r>
                <w:proofErr w:type="spellEnd"/>
                <w:r w:rsidR="001D3B9F">
                  <w:t xml:space="preserve"> lesions may also be difficult to see with just the eye. Radiographs can show how far the lesion has penetrated into the dentin.</w:t>
                </w:r>
                <w:r w:rsidR="000357D7">
                  <w:t xml:space="preserve"> Indicators like these can help with the widespread issue of dental caries and work towards a preventative centered treatment rather than operative.</w:t>
                </w:r>
                <w:r w:rsidR="000357D7">
                  <w:rPr>
                    <w:lang w:val="x-none"/>
                  </w:rPr>
                  <w:t xml:space="preserve"> </w:t>
                </w:r>
                <w:r w:rsidR="001307B1">
                  <w:t xml:space="preserve"> </w:t>
                </w:r>
                <w:r w:rsidR="00E57C16">
                  <w:t xml:space="preserve"> </w:t>
                </w:r>
                <w:r w:rsidR="008240DA">
                  <w:rPr>
                    <w:lang w:val="x-none"/>
                  </w:rPr>
                  <w:t xml:space="preserve"> </w:t>
                </w:r>
                <w:r w:rsidR="006C70AB">
                  <w:t xml:space="preserve"> </w:t>
                </w:r>
                <w:r w:rsidR="006C70AB">
                  <w:rPr>
                    <w:lang w:val="x-none"/>
                  </w:rPr>
                  <w:t xml:space="preserve"> </w:t>
                </w:r>
                <w:r w:rsidR="009B2F05">
                  <w:t xml:space="preserve"> </w:t>
                </w:r>
                <w:r w:rsidR="00DB4BC9">
                  <w:t xml:space="preserve"> </w:t>
                </w:r>
                <w:r w:rsidR="00DE72C4">
                  <w:rPr>
                    <w:lang w:val="x-none"/>
                  </w:rPr>
                  <w:t xml:space="preserve"> </w:t>
                </w:r>
                <w:r w:rsidR="00843274">
                  <w:t xml:space="preserve"> </w:t>
                </w:r>
                <w:r w:rsidR="00843274">
                  <w:rPr>
                    <w:lang w:val="x-none"/>
                  </w:rPr>
                  <w:t xml:space="preserve"> </w:t>
                </w:r>
                <w:r w:rsidR="00135068">
                  <w:rPr>
                    <w:lang w:val="x-none"/>
                  </w:rPr>
                  <w:t xml:space="preserve">          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426582" w:rsidRPr="00426582" w:rsidRDefault="00426582" w:rsidP="00426582">
                <w:pPr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</w:pPr>
                <w:proofErr w:type="spellStart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Maheswari</w:t>
                </w:r>
                <w:proofErr w:type="spellEnd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 xml:space="preserve">, S. U., Raja, J., Kumar, A., &amp; </w:t>
                </w:r>
                <w:proofErr w:type="spellStart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Seelan</w:t>
                </w:r>
                <w:proofErr w:type="spellEnd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, R. G. (2015). Caries management by risk assessment: A review on current strategies for caries prevention and management. </w:t>
                </w:r>
                <w:r w:rsidRPr="00426582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 xml:space="preserve">Journal of pharmacy &amp; </w:t>
                </w:r>
                <w:proofErr w:type="spellStart"/>
                <w:r w:rsidRPr="00426582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>bioallied</w:t>
                </w:r>
                <w:proofErr w:type="spellEnd"/>
                <w:r w:rsidRPr="00426582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 xml:space="preserve"> sciences</w:t>
                </w:r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, </w:t>
                </w:r>
                <w:r w:rsidRPr="00426582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>7</w:t>
                </w:r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(</w:t>
                </w:r>
                <w:proofErr w:type="spellStart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Suppl</w:t>
                </w:r>
                <w:proofErr w:type="spellEnd"/>
                <w:r w:rsidRPr="00426582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 xml:space="preserve"> 2), S320–S324. https://doi.org/10.4103/0975-7406.163436</w:t>
                </w:r>
              </w:p>
              <w:p w:rsidR="002339EF" w:rsidRPr="002339EF" w:rsidRDefault="002339EF" w:rsidP="002339EF">
                <w:pPr>
                  <w:widowControl/>
                  <w:divId w:val="1009795298"/>
                  <w:rPr>
                    <w:snapToGrid/>
                    <w:szCs w:val="24"/>
                  </w:rPr>
                </w:pPr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 xml:space="preserve">Austin, D., JayaKumar, H. L., Chandra, K. M., </w:t>
                </w:r>
                <w:proofErr w:type="spellStart"/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Kemparaj</w:t>
                </w:r>
                <w:proofErr w:type="spellEnd"/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 xml:space="preserve">, V., &amp; </w:t>
                </w:r>
                <w:proofErr w:type="spellStart"/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Prahladka</w:t>
                </w:r>
                <w:proofErr w:type="spellEnd"/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, P. (2020). Cross-sectional Study on White Spot Lesions and its Association with Dental Caries Experience among School Children. </w:t>
                </w:r>
                <w:r w:rsidRPr="002339EF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>International journal of clinical pediatric dentistry</w:t>
                </w:r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, </w:t>
                </w:r>
                <w:r w:rsidRPr="002339EF">
                  <w:rPr>
                    <w:rFonts w:ascii="Arial" w:hAnsi="Arial" w:cs="Arial"/>
                    <w:i/>
                    <w:iCs/>
                    <w:snapToGrid/>
                    <w:color w:val="303030"/>
                    <w:sz w:val="20"/>
                  </w:rPr>
                  <w:t>13</w:t>
                </w:r>
                <w:r w:rsidRPr="002339EF">
                  <w:rPr>
                    <w:rFonts w:ascii="Arial" w:hAnsi="Arial" w:cs="Arial"/>
                    <w:snapToGrid/>
                    <w:color w:val="303030"/>
                    <w:sz w:val="20"/>
                    <w:shd w:val="clear" w:color="auto" w:fill="FFFFFF"/>
                  </w:rPr>
                  <w:t>(2), 107–112. https://doi.org/10.5005/jp-journals-10005-1716</w:t>
                </w:r>
              </w:p>
              <w:p w:rsidR="00E31A88" w:rsidRDefault="00E31A88" w:rsidP="00292BEF"/>
              <w:p w:rsidR="005B248D" w:rsidRDefault="005B248D" w:rsidP="00292BEF"/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341" w:rsidRDefault="006E5341" w:rsidP="00292BEF">
      <w:r>
        <w:separator/>
      </w:r>
    </w:p>
  </w:endnote>
  <w:endnote w:type="continuationSeparator" w:id="0">
    <w:p w:rsidR="006E5341" w:rsidRDefault="006E534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341" w:rsidRDefault="006E5341" w:rsidP="00292BEF">
      <w:r>
        <w:separator/>
      </w:r>
    </w:p>
  </w:footnote>
  <w:footnote w:type="continuationSeparator" w:id="0">
    <w:p w:rsidR="006E5341" w:rsidRDefault="006E534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287D"/>
    <w:rsid w:val="000357D7"/>
    <w:rsid w:val="00036D78"/>
    <w:rsid w:val="00042F09"/>
    <w:rsid w:val="00051530"/>
    <w:rsid w:val="000A28CE"/>
    <w:rsid w:val="001307B1"/>
    <w:rsid w:val="00135068"/>
    <w:rsid w:val="00187B59"/>
    <w:rsid w:val="001C6048"/>
    <w:rsid w:val="001D3B9F"/>
    <w:rsid w:val="002223D1"/>
    <w:rsid w:val="002339EF"/>
    <w:rsid w:val="002356CE"/>
    <w:rsid w:val="00246C4B"/>
    <w:rsid w:val="0026408E"/>
    <w:rsid w:val="00292BEF"/>
    <w:rsid w:val="00306D6B"/>
    <w:rsid w:val="003724C1"/>
    <w:rsid w:val="00383008"/>
    <w:rsid w:val="00426582"/>
    <w:rsid w:val="00490A7F"/>
    <w:rsid w:val="004C6910"/>
    <w:rsid w:val="004E6894"/>
    <w:rsid w:val="00516E2E"/>
    <w:rsid w:val="00522751"/>
    <w:rsid w:val="005B248D"/>
    <w:rsid w:val="006265F7"/>
    <w:rsid w:val="00637806"/>
    <w:rsid w:val="006C70AB"/>
    <w:rsid w:val="006E5341"/>
    <w:rsid w:val="006F4B21"/>
    <w:rsid w:val="00701341"/>
    <w:rsid w:val="00702B26"/>
    <w:rsid w:val="00725735"/>
    <w:rsid w:val="007B6610"/>
    <w:rsid w:val="007F1060"/>
    <w:rsid w:val="0081217F"/>
    <w:rsid w:val="008240DA"/>
    <w:rsid w:val="00843274"/>
    <w:rsid w:val="008A50F9"/>
    <w:rsid w:val="008E669F"/>
    <w:rsid w:val="009843BE"/>
    <w:rsid w:val="009A073A"/>
    <w:rsid w:val="009A6089"/>
    <w:rsid w:val="009B2F05"/>
    <w:rsid w:val="009F7390"/>
    <w:rsid w:val="00A14554"/>
    <w:rsid w:val="00A53800"/>
    <w:rsid w:val="00A63DBF"/>
    <w:rsid w:val="00B140E9"/>
    <w:rsid w:val="00B20A81"/>
    <w:rsid w:val="00B26D96"/>
    <w:rsid w:val="00B50056"/>
    <w:rsid w:val="00B72E18"/>
    <w:rsid w:val="00B930E5"/>
    <w:rsid w:val="00BB7DCF"/>
    <w:rsid w:val="00C03432"/>
    <w:rsid w:val="00C42AED"/>
    <w:rsid w:val="00C43721"/>
    <w:rsid w:val="00C90ED3"/>
    <w:rsid w:val="00CA07DB"/>
    <w:rsid w:val="00CD1C07"/>
    <w:rsid w:val="00CE78FE"/>
    <w:rsid w:val="00D830D7"/>
    <w:rsid w:val="00DB4BC9"/>
    <w:rsid w:val="00DE72C4"/>
    <w:rsid w:val="00DF1FAB"/>
    <w:rsid w:val="00E05B1E"/>
    <w:rsid w:val="00E31A88"/>
    <w:rsid w:val="00E57C16"/>
    <w:rsid w:val="00E60771"/>
    <w:rsid w:val="00E62215"/>
    <w:rsid w:val="00EA4474"/>
    <w:rsid w:val="00EB0DBC"/>
    <w:rsid w:val="00ED5607"/>
    <w:rsid w:val="00EE0C58"/>
    <w:rsid w:val="00F809A0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747B"/>
  <w15:docId w15:val="{D041804E-A7A3-3C42-9B67-782DC673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42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CE61DE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CE61DE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CE61DE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CE61DE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CE61DE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708C0"/>
    <w:rsid w:val="00080ED1"/>
    <w:rsid w:val="00145A2F"/>
    <w:rsid w:val="002F217F"/>
    <w:rsid w:val="0047423F"/>
    <w:rsid w:val="008806B5"/>
    <w:rsid w:val="009612F6"/>
    <w:rsid w:val="009F01C6"/>
    <w:rsid w:val="00AC166B"/>
    <w:rsid w:val="00AE3434"/>
    <w:rsid w:val="00BB03C8"/>
    <w:rsid w:val="00CE61DE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Hanna Banana</cp:lastModifiedBy>
  <cp:revision>61</cp:revision>
  <dcterms:created xsi:type="dcterms:W3CDTF">2011-08-30T13:28:00Z</dcterms:created>
  <dcterms:modified xsi:type="dcterms:W3CDTF">2020-11-11T22:51:00Z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