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0B679F" w:rsidP="002972EE">
                <w:pPr>
                  <w:ind w:left="0" w:firstLine="0"/>
                  <w:rPr>
                    <w:b/>
                  </w:rPr>
                </w:pPr>
                <w:r>
                  <w:rPr>
                    <w:b/>
                  </w:rPr>
                  <w:t>8A-3</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0B679F" w:rsidP="00692E4D">
                <w:pPr>
                  <w:ind w:left="0" w:firstLine="0"/>
                  <w:rPr>
                    <w:b/>
                  </w:rPr>
                </w:pPr>
                <w:r>
                  <w:rPr>
                    <w:b/>
                  </w:rPr>
                  <w:t xml:space="preserve">Tiffany Huynh, Adam Gottschalk, Steven White, Guillermo Aceves </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0B679F" w:rsidP="00692E4D">
                <w:pPr>
                  <w:ind w:left="0" w:firstLine="0"/>
                  <w:rPr>
                    <w:b/>
                  </w:rPr>
                </w:pPr>
                <w:r>
                  <w:rPr>
                    <w:b/>
                  </w:rPr>
                  <w:t xml:space="preserve">What are ways to manage molar </w:t>
                </w:r>
                <w:proofErr w:type="spellStart"/>
                <w:r>
                  <w:rPr>
                    <w:b/>
                  </w:rPr>
                  <w:t>cairies</w:t>
                </w:r>
                <w:proofErr w:type="spellEnd"/>
                <w:r>
                  <w:rPr>
                    <w:b/>
                  </w:rPr>
                  <w:t xml:space="preserve"> in pediatric patients?</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EF6D76" w:rsidP="00692E4D">
                <w:pPr>
                  <w:ind w:left="0" w:firstLine="0"/>
                  <w:rPr>
                    <w:b/>
                  </w:rPr>
                </w:pPr>
                <w:r>
                  <w:rPr>
                    <w:b/>
                  </w:rPr>
                  <w:t>Pediatric patients with caries</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EF6D76" w:rsidP="00692E4D">
                <w:pPr>
                  <w:ind w:left="0" w:firstLine="0"/>
                  <w:rPr>
                    <w:b/>
                  </w:rPr>
                </w:pPr>
                <w:r>
                  <w:rPr>
                    <w:b/>
                  </w:rPr>
                  <w:t>Hall crowns</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EF6D76" w:rsidP="00692E4D">
                <w:pPr>
                  <w:ind w:left="0" w:firstLine="0"/>
                  <w:rPr>
                    <w:b/>
                  </w:rPr>
                </w:pPr>
                <w:r>
                  <w:rPr>
                    <w:b/>
                  </w:rPr>
                  <w:t>Other restorative techniques</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EF6D76" w:rsidP="00692E4D">
                <w:pPr>
                  <w:ind w:left="0" w:firstLine="0"/>
                  <w:rPr>
                    <w:b/>
                  </w:rPr>
                </w:pPr>
                <w:r>
                  <w:rPr>
                    <w:b/>
                  </w:rPr>
                  <w:t xml:space="preserve">Managing molar </w:t>
                </w:r>
                <w:proofErr w:type="spellStart"/>
                <w:r>
                  <w:rPr>
                    <w:b/>
                  </w:rPr>
                  <w:t>caires</w:t>
                </w:r>
                <w:proofErr w:type="spellEnd"/>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0B679F" w:rsidP="00692E4D">
                <w:pPr>
                  <w:ind w:left="0" w:firstLine="0"/>
                  <w:rPr>
                    <w:b/>
                  </w:rPr>
                </w:pPr>
                <w:r>
                  <w:rPr>
                    <w:b/>
                  </w:rPr>
                  <w:t>In a population of pediatric patients with ca</w:t>
                </w:r>
                <w:r w:rsidR="00EF6D76">
                  <w:rPr>
                    <w:b/>
                  </w:rPr>
                  <w:t>ri</w:t>
                </w:r>
                <w:r>
                  <w:rPr>
                    <w:b/>
                  </w:rPr>
                  <w:t xml:space="preserve">es, how effective are Hall crowns </w:t>
                </w:r>
                <w:r w:rsidR="00EF6D76">
                  <w:rPr>
                    <w:b/>
                  </w:rPr>
                  <w:t xml:space="preserve">compared to other restorative techniques for managing molar caries? </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EF6D76" w:rsidP="00692E4D">
                <w:pPr>
                  <w:ind w:left="0" w:firstLine="0"/>
                  <w:rPr>
                    <w:b/>
                  </w:rPr>
                </w:pPr>
                <w:r>
                  <w:rPr>
                    <w:b/>
                  </w:rPr>
                  <w:t>Systematic reviews and meta-analyses support the use of Hall crown when indicated to manage molar ca</w:t>
                </w:r>
                <w:r w:rsidR="004248D1">
                  <w:rPr>
                    <w:b/>
                  </w:rPr>
                  <w:t>ri</w:t>
                </w:r>
                <w:r>
                  <w:rPr>
                    <w:b/>
                  </w:rPr>
                  <w:t xml:space="preserve">es in the pediatric population. Compared to </w:t>
                </w:r>
                <w:r w:rsidR="00C7252F">
                  <w:rPr>
                    <w:b/>
                  </w:rPr>
                  <w:t>directly placed dental restorations like</w:t>
                </w:r>
                <w:r w:rsidR="00FA60CB">
                  <w:rPr>
                    <w:b/>
                  </w:rPr>
                  <w:t xml:space="preserve"> dental amalgams, composite resins, compomers, and RMGIs,</w:t>
                </w:r>
                <w:r w:rsidR="00C7252F">
                  <w:rPr>
                    <w:b/>
                  </w:rPr>
                  <w:t xml:space="preserve"> Hall crown</w:t>
                </w:r>
                <w:r w:rsidR="00FA60CB">
                  <w:rPr>
                    <w:b/>
                  </w:rPr>
                  <w:t>s are a promising restorative option with high acceptability, increased longevity,</w:t>
                </w:r>
                <w:r w:rsidR="00C7252F">
                  <w:rPr>
                    <w:b/>
                  </w:rPr>
                  <w:t xml:space="preserve"> </w:t>
                </w:r>
                <w:r w:rsidR="00FA60CB">
                  <w:rPr>
                    <w:b/>
                  </w:rPr>
                  <w:t xml:space="preserve">lower failure rates, and are less technique sensitive. </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EF6D76" w:rsidP="00692E4D">
                <w:pPr>
                  <w:ind w:left="0" w:firstLine="0"/>
                  <w:rPr>
                    <w:b/>
                  </w:rPr>
                </w:pPr>
                <w:r>
                  <w:rPr>
                    <w:b/>
                  </w:rPr>
                  <w:t>11/08/2020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EF6D76" w:rsidP="00692E4D">
                <w:pPr>
                  <w:ind w:left="0" w:firstLine="0"/>
                  <w:rPr>
                    <w:b/>
                  </w:rPr>
                </w:pPr>
                <w:r>
                  <w:rPr>
                    <w:b/>
                  </w:rPr>
                  <w:t>PubMed</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FA60CB" w:rsidP="00692E4D">
                <w:pPr>
                  <w:ind w:left="0" w:firstLine="0"/>
                  <w:rPr>
                    <w:b/>
                  </w:rPr>
                </w:pPr>
                <w:r>
                  <w:rPr>
                    <w:b/>
                  </w:rPr>
                  <w:t xml:space="preserve">Limited to meta-analyses; systematic reviews, article publication primarily within last ten years, article suggestions from specialty leader (Dr. </w:t>
                </w:r>
                <w:proofErr w:type="spellStart"/>
                <w:r w:rsidR="005F2C74">
                  <w:rPr>
                    <w:b/>
                  </w:rPr>
                  <w:t>Gungor</w:t>
                </w:r>
                <w:proofErr w:type="spellEnd"/>
                <w:r w:rsidR="005F2C74">
                  <w:rPr>
                    <w:b/>
                  </w:rPr>
                  <w:t>)</w:t>
                </w:r>
                <w:r>
                  <w:rPr>
                    <w:b/>
                  </w:rPr>
                  <w:t xml:space="preserve"> </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FA60CB" w:rsidP="00692E4D">
                <w:pPr>
                  <w:ind w:left="0" w:firstLine="0"/>
                  <w:rPr>
                    <w:b/>
                  </w:rPr>
                </w:pPr>
                <w:r>
                  <w:rPr>
                    <w:b/>
                  </w:rPr>
                  <w:t>Hall crowns, primary molars, child</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b/>
            </w:rPr>
            <w:id w:val="-938752678"/>
            <w:placeholder>
              <w:docPart w:val="E8F2534F808F4ECBB4F5D259E7F4B4F2"/>
            </w:placeholder>
          </w:sdtPr>
          <w:sdtEndPr/>
          <w:sdtContent>
            <w:tc>
              <w:tcPr>
                <w:tcW w:w="8640" w:type="dxa"/>
              </w:tcPr>
              <w:p w:rsidR="001C3449" w:rsidRDefault="001C3449" w:rsidP="001C3449">
                <w:pPr>
                  <w:pStyle w:val="NormalWeb"/>
                  <w:rPr>
                    <w:rFonts w:ascii="SourceSansPro" w:hAnsi="SourceSansPro"/>
                    <w:sz w:val="18"/>
                    <w:szCs w:val="18"/>
                  </w:rPr>
                </w:pPr>
                <w:proofErr w:type="spellStart"/>
                <w:r>
                  <w:rPr>
                    <w:rFonts w:ascii="SourceSansPro" w:hAnsi="SourceSansPro"/>
                    <w:sz w:val="18"/>
                    <w:szCs w:val="18"/>
                  </w:rPr>
                  <w:t>Altoukhi</w:t>
                </w:r>
                <w:proofErr w:type="spellEnd"/>
                <w:r>
                  <w:rPr>
                    <w:rFonts w:ascii="SourceSansPro" w:hAnsi="SourceSansPro"/>
                    <w:sz w:val="18"/>
                    <w:szCs w:val="18"/>
                  </w:rPr>
                  <w:t xml:space="preserve"> DH, El-</w:t>
                </w:r>
                <w:proofErr w:type="spellStart"/>
                <w:r>
                  <w:rPr>
                    <w:rFonts w:ascii="SourceSansPro" w:hAnsi="SourceSansPro"/>
                    <w:sz w:val="18"/>
                    <w:szCs w:val="18"/>
                  </w:rPr>
                  <w:t>Housseiny</w:t>
                </w:r>
                <w:proofErr w:type="spellEnd"/>
                <w:r>
                  <w:rPr>
                    <w:rFonts w:ascii="SourceSansPro" w:hAnsi="SourceSansPro"/>
                    <w:sz w:val="18"/>
                    <w:szCs w:val="18"/>
                  </w:rPr>
                  <w:t xml:space="preserve"> AA. Hall technique for primary molars: A review of the literature. </w:t>
                </w:r>
                <w:r>
                  <w:rPr>
                    <w:rFonts w:ascii="SourceSansPro" w:hAnsi="SourceSansPro"/>
                    <w:i/>
                    <w:iCs/>
                    <w:sz w:val="18"/>
                    <w:szCs w:val="18"/>
                  </w:rPr>
                  <w:t xml:space="preserve">Dent J. </w:t>
                </w:r>
                <w:r>
                  <w:rPr>
                    <w:rFonts w:ascii="SourceSansPro" w:hAnsi="SourceSansPro"/>
                    <w:sz w:val="18"/>
                    <w:szCs w:val="18"/>
                  </w:rPr>
                  <w:t xml:space="preserve">2020 Jan 17;8(1):11 </w:t>
                </w:r>
              </w:p>
              <w:p w:rsidR="00692E4D" w:rsidRPr="001C3449" w:rsidRDefault="001C3449" w:rsidP="001C3449">
                <w:pPr>
                  <w:pStyle w:val="NormalWeb"/>
                  <w:rPr>
                    <w:rFonts w:ascii="SourceSansPro" w:hAnsi="SourceSansPro"/>
                    <w:sz w:val="18"/>
                    <w:szCs w:val="18"/>
                  </w:rPr>
                </w:pPr>
                <w:proofErr w:type="spellStart"/>
                <w:r>
                  <w:rPr>
                    <w:rFonts w:ascii="SourceSansPro" w:hAnsi="SourceSansPro"/>
                    <w:sz w:val="18"/>
                    <w:szCs w:val="18"/>
                  </w:rPr>
                  <w:t>Badar</w:t>
                </w:r>
                <w:proofErr w:type="spellEnd"/>
                <w:r>
                  <w:rPr>
                    <w:rFonts w:ascii="SourceSansPro" w:hAnsi="SourceSansPro"/>
                    <w:sz w:val="18"/>
                    <w:szCs w:val="18"/>
                  </w:rPr>
                  <w:t xml:space="preserve"> SB, Tabassum S, Khan FR, Ghafoor R. Effectiveness of hall technique for primary carious molars: A systematic review and meta-analysis. </w:t>
                </w:r>
                <w:r>
                  <w:rPr>
                    <w:rFonts w:ascii="SourceSansPro" w:hAnsi="SourceSansPro"/>
                    <w:i/>
                    <w:iCs/>
                    <w:sz w:val="18"/>
                    <w:szCs w:val="18"/>
                  </w:rPr>
                  <w:t xml:space="preserve">Int J </w:t>
                </w:r>
                <w:proofErr w:type="spellStart"/>
                <w:r>
                  <w:rPr>
                    <w:rFonts w:ascii="SourceSansPro" w:hAnsi="SourceSansPro"/>
                    <w:i/>
                    <w:iCs/>
                    <w:sz w:val="18"/>
                    <w:szCs w:val="18"/>
                  </w:rPr>
                  <w:t>Pediatr</w:t>
                </w:r>
                <w:proofErr w:type="spellEnd"/>
                <w:r>
                  <w:rPr>
                    <w:rFonts w:ascii="SourceSansPro" w:hAnsi="SourceSansPro"/>
                    <w:i/>
                    <w:iCs/>
                    <w:sz w:val="18"/>
                    <w:szCs w:val="18"/>
                  </w:rPr>
                  <w:t xml:space="preserve"> Dent. </w:t>
                </w:r>
                <w:r>
                  <w:rPr>
                    <w:rFonts w:ascii="SourceSansPro" w:hAnsi="SourceSansPro"/>
                    <w:sz w:val="18"/>
                    <w:szCs w:val="18"/>
                  </w:rPr>
                  <w:t>2019 Sept-Oct;12(5):445-452.</w:t>
                </w:r>
              </w:p>
            </w:tc>
          </w:sdtContent>
        </w:sdt>
      </w:tr>
      <w:tr w:rsidR="00692E4D" w:rsidTr="002E6FF2">
        <w:tc>
          <w:tcPr>
            <w:tcW w:w="8640" w:type="dxa"/>
          </w:tcPr>
          <w:p w:rsidR="00692E4D" w:rsidRPr="00974240" w:rsidRDefault="00692E4D" w:rsidP="00692E4D">
            <w:pPr>
              <w:ind w:left="0" w:firstLine="0"/>
              <w:rPr>
                <w:b/>
              </w:rPr>
            </w:pPr>
            <w:r w:rsidRPr="006A2AEF">
              <w:rPr>
                <w:b/>
              </w:rPr>
              <w:lastRenderedPageBreak/>
              <w:t>Study Design(s):</w:t>
            </w:r>
          </w:p>
        </w:tc>
      </w:tr>
      <w:tr w:rsidR="00692E4D" w:rsidTr="002E6FF2">
        <w:sdt>
          <w:sdtPr>
            <w:id w:val="196748513"/>
            <w:placeholder>
              <w:docPart w:val="205A1B0B443B417CA1D395AFAABA1971"/>
            </w:placeholder>
          </w:sdtPr>
          <w:sdtEndPr/>
          <w:sdtContent>
            <w:tc>
              <w:tcPr>
                <w:tcW w:w="8640" w:type="dxa"/>
              </w:tcPr>
              <w:p w:rsidR="00692E4D" w:rsidRPr="00EA69FD" w:rsidRDefault="00EA69FD" w:rsidP="00EA69FD">
                <w:pPr>
                  <w:ind w:left="0" w:firstLine="0"/>
                  <w:rPr>
                    <w:b/>
                  </w:rPr>
                </w:pPr>
                <w:r>
                  <w:t>Systematic review</w:t>
                </w:r>
                <w:r w:rsidR="00FF16FC">
                  <w:t xml:space="preserve">; </w:t>
                </w:r>
                <w:r>
                  <w:t>systematic review and meta-analysis</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692E4D" w:rsidRPr="006A2AEF" w:rsidRDefault="00AF3413" w:rsidP="00692E4D">
                <w:pPr>
                  <w:ind w:left="0" w:firstLine="0"/>
                  <w:rPr>
                    <w:b/>
                  </w:rPr>
                </w:pPr>
                <w:r>
                  <w:rPr>
                    <w:b/>
                  </w:rPr>
                  <w:t>Each article had a high level of evidence (systematic review or meta-analysis) and addressed the PICO “Intervention”</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b/>
            </w:rPr>
            <w:id w:val="-1273706365"/>
            <w:placeholder>
              <w:docPart w:val="CD5085E3943545F0974FA7B375EE1726"/>
            </w:placeholder>
          </w:sdtPr>
          <w:sdtEndPr/>
          <w:sdtContent>
            <w:tc>
              <w:tcPr>
                <w:tcW w:w="8640" w:type="dxa"/>
              </w:tcPr>
              <w:p w:rsidR="00027659" w:rsidRDefault="00027659" w:rsidP="00187A5C">
                <w:pPr>
                  <w:spacing w:line="240" w:lineRule="auto"/>
                  <w:ind w:left="0" w:firstLine="0"/>
                  <w:rPr>
                    <w:b/>
                  </w:rPr>
                </w:pPr>
                <w:r>
                  <w:rPr>
                    <w:b/>
                  </w:rPr>
                  <w:t xml:space="preserve">The study design of </w:t>
                </w:r>
                <w:proofErr w:type="spellStart"/>
                <w:r>
                  <w:rPr>
                    <w:b/>
                  </w:rPr>
                  <w:t>Altoukhi</w:t>
                </w:r>
                <w:proofErr w:type="spellEnd"/>
                <w:r>
                  <w:rPr>
                    <w:b/>
                  </w:rPr>
                  <w:t xml:space="preserve"> et al. was a systematic </w:t>
                </w:r>
                <w:proofErr w:type="spellStart"/>
                <w:r>
                  <w:rPr>
                    <w:b/>
                  </w:rPr>
                  <w:t>reviw</w:t>
                </w:r>
                <w:proofErr w:type="spellEnd"/>
                <w:r>
                  <w:rPr>
                    <w:b/>
                  </w:rPr>
                  <w:t xml:space="preserve">. The primary objective of the study was to provide an updated search on the Hall Technique definition, indications and </w:t>
                </w:r>
                <w:proofErr w:type="spellStart"/>
                <w:r>
                  <w:rPr>
                    <w:b/>
                  </w:rPr>
                  <w:t>contraindicatinos</w:t>
                </w:r>
                <w:proofErr w:type="spellEnd"/>
                <w:r>
                  <w:rPr>
                    <w:b/>
                  </w:rPr>
                  <w:t xml:space="preserve">, advantages and concerns, successes and failures, cost effectiveness, and how the technique compares to conventional treatment options. The electronic databases of “Cochrane Database”, “PubMed”, “Science Direct”, and “Google Scholar” were used to locate relevant studies between 1991 and 2018. According to the results, the </w:t>
                </w:r>
                <w:proofErr w:type="gramStart"/>
                <w:r>
                  <w:rPr>
                    <w:b/>
                  </w:rPr>
                  <w:t>two year</w:t>
                </w:r>
                <w:proofErr w:type="gramEnd"/>
                <w:r>
                  <w:rPr>
                    <w:b/>
                  </w:rPr>
                  <w:t xml:space="preserve"> survival rate of the Hall technique and conventional crown technique were 94.5% and 96%, respectively, with no significant difference. The success rate of the Hall technique was 94.5% after one year and 67.6% after five years. In </w:t>
                </w:r>
                <w:proofErr w:type="spellStart"/>
                <w:r>
                  <w:rPr>
                    <w:b/>
                  </w:rPr>
                  <w:t>comparision</w:t>
                </w:r>
                <w:proofErr w:type="spellEnd"/>
                <w:r>
                  <w:rPr>
                    <w:b/>
                  </w:rPr>
                  <w:t xml:space="preserve">, the </w:t>
                </w:r>
                <w:proofErr w:type="gramStart"/>
                <w:r w:rsidR="00187A5C">
                  <w:rPr>
                    <w:b/>
                  </w:rPr>
                  <w:t>three year</w:t>
                </w:r>
                <w:proofErr w:type="gramEnd"/>
                <w:r w:rsidR="00187A5C">
                  <w:rPr>
                    <w:b/>
                  </w:rPr>
                  <w:t xml:space="preserve"> survival rate of composite restorations and glass ionomer </w:t>
                </w:r>
                <w:proofErr w:type="spellStart"/>
                <w:r w:rsidR="00187A5C">
                  <w:rPr>
                    <w:b/>
                  </w:rPr>
                  <w:t>resterations</w:t>
                </w:r>
                <w:proofErr w:type="spellEnd"/>
                <w:r w:rsidR="00187A5C">
                  <w:rPr>
                    <w:b/>
                  </w:rPr>
                  <w:t xml:space="preserve"> were 78% and 65%, respectively. In addition, the Hall technique was found to be more accepted and preferred by parents and the dentist </w:t>
                </w:r>
                <w:proofErr w:type="spellStart"/>
                <w:r w:rsidR="00187A5C">
                  <w:rPr>
                    <w:b/>
                  </w:rPr>
                  <w:t>perfoming</w:t>
                </w:r>
                <w:proofErr w:type="spellEnd"/>
                <w:r w:rsidR="00187A5C">
                  <w:rPr>
                    <w:b/>
                  </w:rPr>
                  <w:t xml:space="preserve"> the treatment. In conclusion, the Hall technique can be an effective addition to the clinician’s range of treatment options of the carious primary molar. </w:t>
                </w:r>
              </w:p>
              <w:p w:rsidR="00187A5C" w:rsidRPr="00187A5C" w:rsidRDefault="00187A5C" w:rsidP="00187A5C">
                <w:pPr>
                  <w:spacing w:line="240" w:lineRule="auto"/>
                  <w:ind w:left="0" w:firstLine="0"/>
                  <w:rPr>
                    <w:b/>
                  </w:rPr>
                </w:pPr>
              </w:p>
              <w:p w:rsidR="00725B08" w:rsidRPr="00725B08" w:rsidRDefault="00725B08" w:rsidP="00725B08">
                <w:pPr>
                  <w:spacing w:line="240" w:lineRule="auto"/>
                  <w:ind w:left="0" w:firstLine="0"/>
                  <w:rPr>
                    <w:b/>
                  </w:rPr>
                </w:pPr>
                <w:r>
                  <w:rPr>
                    <w:b/>
                  </w:rPr>
                  <w:t xml:space="preserve">In </w:t>
                </w:r>
                <w:proofErr w:type="spellStart"/>
                <w:r>
                  <w:rPr>
                    <w:b/>
                  </w:rPr>
                  <w:t>Badar</w:t>
                </w:r>
                <w:proofErr w:type="spellEnd"/>
                <w:r>
                  <w:rPr>
                    <w:b/>
                  </w:rPr>
                  <w:t xml:space="preserve"> et al., the </w:t>
                </w:r>
                <w:proofErr w:type="spellStart"/>
                <w:r>
                  <w:rPr>
                    <w:b/>
                  </w:rPr>
                  <w:t>the</w:t>
                </w:r>
                <w:proofErr w:type="spellEnd"/>
                <w:r>
                  <w:rPr>
                    <w:b/>
                  </w:rPr>
                  <w:t xml:space="preserve"> aim of the study was to assess the outcome of the Hall technique on primary carious molars compared to conventional dental restorations. The study design was a systematic review and meta-analysis. After the exclusion criteria five and three studies were used, respectively. The systematic review revealed the Hall Technique is equally effective to </w:t>
                </w:r>
                <w:proofErr w:type="spellStart"/>
                <w:r>
                  <w:rPr>
                    <w:b/>
                  </w:rPr>
                  <w:t>alterntive</w:t>
                </w:r>
                <w:proofErr w:type="spellEnd"/>
                <w:r>
                  <w:rPr>
                    <w:b/>
                  </w:rPr>
                  <w:t xml:space="preserve"> treatment </w:t>
                </w:r>
                <w:proofErr w:type="spellStart"/>
                <w:r>
                  <w:rPr>
                    <w:b/>
                  </w:rPr>
                  <w:t>optinos</w:t>
                </w:r>
                <w:proofErr w:type="spellEnd"/>
                <w:r>
                  <w:rPr>
                    <w:b/>
                  </w:rPr>
                  <w:t xml:space="preserve"> that are more aggressive and depend on patient cooperation. Hall crowns also exhibited considerably higher survival rate and success rate compared to directly placed restorations. The meta-analysis revealed the Hall technique is far more successful than comparative treatment modalities (RR: 5.5, p-value&lt;0.001). </w:t>
                </w:r>
                <w:r w:rsidR="004A03E9">
                  <w:rPr>
                    <w:b/>
                  </w:rPr>
                  <w:t xml:space="preserve">One main limitation of this study was the study did not look at the patients’ or dentists’ </w:t>
                </w:r>
                <w:proofErr w:type="spellStart"/>
                <w:r w:rsidR="004A03E9">
                  <w:rPr>
                    <w:b/>
                  </w:rPr>
                  <w:t>attituedes</w:t>
                </w:r>
                <w:proofErr w:type="spellEnd"/>
                <w:r w:rsidR="004A03E9">
                  <w:rPr>
                    <w:b/>
                  </w:rPr>
                  <w:t xml:space="preserve"> toward the Hall technique. Overall, it can be concluded that the Hall Technique significantly outperformed the conventional restorative techniques for treating primary carious molars.</w:t>
                </w:r>
              </w:p>
              <w:p w:rsidR="00725B08" w:rsidRDefault="00725B08" w:rsidP="00725B08">
                <w:pPr>
                  <w:spacing w:line="240" w:lineRule="auto"/>
                  <w:ind w:left="0" w:firstLine="0"/>
                  <w:rPr>
                    <w:rFonts w:ascii="Times New Roman" w:eastAsia="Times New Roman" w:hAnsi="Times New Roman"/>
                    <w:sz w:val="24"/>
                    <w:szCs w:val="24"/>
                  </w:rPr>
                </w:pPr>
              </w:p>
              <w:p w:rsidR="00692E4D" w:rsidRPr="006A2AEF" w:rsidRDefault="00692E4D" w:rsidP="002E6FF2">
                <w:pPr>
                  <w:ind w:left="0" w:firstLine="0"/>
                  <w:rPr>
                    <w:b/>
                  </w:rPr>
                </w:pP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t>Le</w:t>
            </w:r>
            <w:r w:rsidRPr="006A2AEF">
              <w:rPr>
                <w:b/>
              </w:rPr>
              <w:t>vels of Evidence</w:t>
            </w:r>
            <w:proofErr w:type="gramStart"/>
            <w:r w:rsidRPr="006A2AEF">
              <w:rPr>
                <w:b/>
              </w:rPr>
              <w:t xml:space="preserve">:  </w:t>
            </w:r>
            <w:r>
              <w:t>(</w:t>
            </w:r>
            <w:proofErr w:type="gramEnd"/>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7C626E" w:rsidP="004816C3">
            <w:pPr>
              <w:ind w:left="0" w:firstLine="0"/>
            </w:pPr>
            <w:sdt>
              <w:sdtPr>
                <w:rPr>
                  <w:b/>
                </w:rPr>
                <w:id w:val="1778597194"/>
                <w14:checkbox>
                  <w14:checked w14:val="1"/>
                  <w14:checkedState w14:val="2612" w14:font="MS Gothic"/>
                  <w14:uncheckedState w14:val="2610" w14:font="MS Gothic"/>
                </w14:checkbox>
              </w:sdtPr>
              <w:sdtEndPr/>
              <w:sdtContent>
                <w:r w:rsidR="00EA69FD">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7C626E"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7C626E"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7C626E"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7C626E"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7C626E"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7C626E"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7C626E"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7C626E"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7C626E"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7C626E"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lastRenderedPageBreak/>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7C626E"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EA69FD">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7C626E"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rsidR="00692E4D" w:rsidRDefault="007C626E"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sdtContent>
            <w:tc>
              <w:tcPr>
                <w:tcW w:w="8640" w:type="dxa"/>
              </w:tcPr>
              <w:p w:rsidR="00737141" w:rsidRPr="00263078" w:rsidRDefault="00737141" w:rsidP="00263078">
                <w:pPr>
                  <w:ind w:left="0" w:firstLine="0"/>
                  <w:rPr>
                    <w:b/>
                  </w:rPr>
                </w:pPr>
                <w:r>
                  <w:rPr>
                    <w:b/>
                  </w:rPr>
                  <w:t xml:space="preserve">Based on the findings of the literature, I would recommend that our patient be treated using the Hall technique. Because the child is not very cooperative in the dental chair and has a fear of needles, it would be challenging to treat the child with a conventional restoration. Therefore, the Hall technique would be indicated in this case. Furthermore, compared to conventional restorations the Hall technique has promising results showing high acceptability and longevity, having low failure rates, and being the most </w:t>
                </w:r>
                <w:proofErr w:type="gramStart"/>
                <w:r>
                  <w:rPr>
                    <w:b/>
                  </w:rPr>
                  <w:t>cost effective</w:t>
                </w:r>
                <w:proofErr w:type="gramEnd"/>
                <w:r>
                  <w:rPr>
                    <w:b/>
                  </w:rPr>
                  <w:t xml:space="preserve"> treatment option.</w:t>
                </w:r>
              </w:p>
              <w:p w:rsidR="002972EE" w:rsidRDefault="002972EE" w:rsidP="002972EE">
                <w:pPr>
                  <w:ind w:left="0" w:firstLine="0"/>
                </w:pP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626E" w:rsidRDefault="007C626E" w:rsidP="00692E4D">
      <w:pPr>
        <w:spacing w:after="0" w:line="240" w:lineRule="auto"/>
      </w:pPr>
      <w:r>
        <w:separator/>
      </w:r>
    </w:p>
  </w:endnote>
  <w:endnote w:type="continuationSeparator" w:id="0">
    <w:p w:rsidR="007C626E" w:rsidRDefault="007C626E"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SansPro">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626E" w:rsidRDefault="007C626E" w:rsidP="00692E4D">
      <w:pPr>
        <w:spacing w:after="0" w:line="240" w:lineRule="auto"/>
      </w:pPr>
      <w:r>
        <w:separator/>
      </w:r>
    </w:p>
  </w:footnote>
  <w:footnote w:type="continuationSeparator" w:id="0">
    <w:p w:rsidR="007C626E" w:rsidRDefault="007C626E"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C541A"/>
    <w:multiLevelType w:val="multilevel"/>
    <w:tmpl w:val="7414B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D18BC"/>
    <w:multiLevelType w:val="multilevel"/>
    <w:tmpl w:val="41FA9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7C27EC"/>
    <w:multiLevelType w:val="hybridMultilevel"/>
    <w:tmpl w:val="11621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4"/>
  </w:num>
  <w:num w:numId="4">
    <w:abstractNumId w:val="2"/>
  </w:num>
  <w:num w:numId="5">
    <w:abstractNumId w:val="6"/>
  </w:num>
  <w:num w:numId="6">
    <w:abstractNumId w:val="7"/>
  </w:num>
  <w:num w:numId="7">
    <w:abstractNumId w:val="10"/>
  </w:num>
  <w:num w:numId="8">
    <w:abstractNumId w:val="8"/>
  </w:num>
  <w:num w:numId="9">
    <w:abstractNumId w:val="5"/>
  </w:num>
  <w:num w:numId="10">
    <w:abstractNumId w:val="9"/>
  </w:num>
  <w:num w:numId="11">
    <w:abstractNumId w:val="0"/>
    <w:lvlOverride w:ilvl="0"/>
  </w:num>
  <w:num w:numId="12">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27659"/>
    <w:rsid w:val="000353D8"/>
    <w:rsid w:val="000573BB"/>
    <w:rsid w:val="00062F14"/>
    <w:rsid w:val="000B679F"/>
    <w:rsid w:val="00187A5C"/>
    <w:rsid w:val="00192604"/>
    <w:rsid w:val="001C073A"/>
    <w:rsid w:val="001C3449"/>
    <w:rsid w:val="00263078"/>
    <w:rsid w:val="002967BF"/>
    <w:rsid w:val="002972EE"/>
    <w:rsid w:val="002E6FF2"/>
    <w:rsid w:val="003B2868"/>
    <w:rsid w:val="003C3610"/>
    <w:rsid w:val="004112F5"/>
    <w:rsid w:val="004248D1"/>
    <w:rsid w:val="004816C3"/>
    <w:rsid w:val="004A03E9"/>
    <w:rsid w:val="004B1110"/>
    <w:rsid w:val="005F06DC"/>
    <w:rsid w:val="005F2C74"/>
    <w:rsid w:val="00657CF8"/>
    <w:rsid w:val="00672CAF"/>
    <w:rsid w:val="00692E4D"/>
    <w:rsid w:val="006A2AEF"/>
    <w:rsid w:val="006A5E4B"/>
    <w:rsid w:val="00725B08"/>
    <w:rsid w:val="007278F8"/>
    <w:rsid w:val="00737141"/>
    <w:rsid w:val="00746A56"/>
    <w:rsid w:val="007C626E"/>
    <w:rsid w:val="0084217E"/>
    <w:rsid w:val="008A3451"/>
    <w:rsid w:val="008C04CB"/>
    <w:rsid w:val="00A228DA"/>
    <w:rsid w:val="00AF3413"/>
    <w:rsid w:val="00C7252F"/>
    <w:rsid w:val="00DD26F4"/>
    <w:rsid w:val="00E4293E"/>
    <w:rsid w:val="00EA69FD"/>
    <w:rsid w:val="00EF6D76"/>
    <w:rsid w:val="00F32487"/>
    <w:rsid w:val="00F76708"/>
    <w:rsid w:val="00FA60CB"/>
    <w:rsid w:val="00FF16F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6CC2DF"/>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1C3449"/>
    <w:pPr>
      <w:spacing w:before="100" w:beforeAutospacing="1" w:after="100" w:afterAutospacing="1" w:line="240" w:lineRule="auto"/>
      <w:ind w:left="0" w:firstLine="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1662">
      <w:bodyDiv w:val="1"/>
      <w:marLeft w:val="0"/>
      <w:marRight w:val="0"/>
      <w:marTop w:val="0"/>
      <w:marBottom w:val="0"/>
      <w:divBdr>
        <w:top w:val="none" w:sz="0" w:space="0" w:color="auto"/>
        <w:left w:val="none" w:sz="0" w:space="0" w:color="auto"/>
        <w:bottom w:val="none" w:sz="0" w:space="0" w:color="auto"/>
        <w:right w:val="none" w:sz="0" w:space="0" w:color="auto"/>
      </w:divBdr>
    </w:div>
    <w:div w:id="329874921">
      <w:bodyDiv w:val="1"/>
      <w:marLeft w:val="0"/>
      <w:marRight w:val="0"/>
      <w:marTop w:val="0"/>
      <w:marBottom w:val="0"/>
      <w:divBdr>
        <w:top w:val="none" w:sz="0" w:space="0" w:color="auto"/>
        <w:left w:val="none" w:sz="0" w:space="0" w:color="auto"/>
        <w:bottom w:val="none" w:sz="0" w:space="0" w:color="auto"/>
        <w:right w:val="none" w:sz="0" w:space="0" w:color="auto"/>
      </w:divBdr>
    </w:div>
    <w:div w:id="688876412">
      <w:bodyDiv w:val="1"/>
      <w:marLeft w:val="0"/>
      <w:marRight w:val="0"/>
      <w:marTop w:val="0"/>
      <w:marBottom w:val="0"/>
      <w:divBdr>
        <w:top w:val="none" w:sz="0" w:space="0" w:color="auto"/>
        <w:left w:val="none" w:sz="0" w:space="0" w:color="auto"/>
        <w:bottom w:val="none" w:sz="0" w:space="0" w:color="auto"/>
        <w:right w:val="none" w:sz="0" w:space="0" w:color="auto"/>
      </w:divBdr>
      <w:divsChild>
        <w:div w:id="416025815">
          <w:marLeft w:val="0"/>
          <w:marRight w:val="0"/>
          <w:marTop w:val="0"/>
          <w:marBottom w:val="0"/>
          <w:divBdr>
            <w:top w:val="none" w:sz="0" w:space="0" w:color="auto"/>
            <w:left w:val="none" w:sz="0" w:space="0" w:color="auto"/>
            <w:bottom w:val="none" w:sz="0" w:space="0" w:color="auto"/>
            <w:right w:val="none" w:sz="0" w:space="0" w:color="auto"/>
          </w:divBdr>
          <w:divsChild>
            <w:div w:id="423231795">
              <w:marLeft w:val="0"/>
              <w:marRight w:val="0"/>
              <w:marTop w:val="0"/>
              <w:marBottom w:val="0"/>
              <w:divBdr>
                <w:top w:val="none" w:sz="0" w:space="0" w:color="auto"/>
                <w:left w:val="none" w:sz="0" w:space="0" w:color="auto"/>
                <w:bottom w:val="none" w:sz="0" w:space="0" w:color="auto"/>
                <w:right w:val="none" w:sz="0" w:space="0" w:color="auto"/>
              </w:divBdr>
              <w:divsChild>
                <w:div w:id="20164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62064">
      <w:bodyDiv w:val="1"/>
      <w:marLeft w:val="0"/>
      <w:marRight w:val="0"/>
      <w:marTop w:val="0"/>
      <w:marBottom w:val="0"/>
      <w:divBdr>
        <w:top w:val="none" w:sz="0" w:space="0" w:color="auto"/>
        <w:left w:val="none" w:sz="0" w:space="0" w:color="auto"/>
        <w:bottom w:val="none" w:sz="0" w:space="0" w:color="auto"/>
        <w:right w:val="none" w:sz="0" w:space="0" w:color="auto"/>
      </w:divBdr>
      <w:divsChild>
        <w:div w:id="1952661793">
          <w:marLeft w:val="0"/>
          <w:marRight w:val="0"/>
          <w:marTop w:val="0"/>
          <w:marBottom w:val="0"/>
          <w:divBdr>
            <w:top w:val="none" w:sz="0" w:space="0" w:color="auto"/>
            <w:left w:val="none" w:sz="0" w:space="0" w:color="auto"/>
            <w:bottom w:val="none" w:sz="0" w:space="0" w:color="auto"/>
            <w:right w:val="none" w:sz="0" w:space="0" w:color="auto"/>
          </w:divBdr>
          <w:divsChild>
            <w:div w:id="146945668">
              <w:marLeft w:val="0"/>
              <w:marRight w:val="0"/>
              <w:marTop w:val="0"/>
              <w:marBottom w:val="0"/>
              <w:divBdr>
                <w:top w:val="none" w:sz="0" w:space="0" w:color="auto"/>
                <w:left w:val="none" w:sz="0" w:space="0" w:color="auto"/>
                <w:bottom w:val="none" w:sz="0" w:space="0" w:color="auto"/>
                <w:right w:val="none" w:sz="0" w:space="0" w:color="auto"/>
              </w:divBdr>
              <w:divsChild>
                <w:div w:id="15661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63973">
      <w:bodyDiv w:val="1"/>
      <w:marLeft w:val="0"/>
      <w:marRight w:val="0"/>
      <w:marTop w:val="0"/>
      <w:marBottom w:val="0"/>
      <w:divBdr>
        <w:top w:val="none" w:sz="0" w:space="0" w:color="auto"/>
        <w:left w:val="none" w:sz="0" w:space="0" w:color="auto"/>
        <w:bottom w:val="none" w:sz="0" w:space="0" w:color="auto"/>
        <w:right w:val="none" w:sz="0" w:space="0" w:color="auto"/>
      </w:divBdr>
    </w:div>
    <w:div w:id="2011248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SansPro">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41143"/>
    <w:rsid w:val="0028328F"/>
    <w:rsid w:val="002D0D1F"/>
    <w:rsid w:val="00670A77"/>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3.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4.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Gottschalk, Adam</cp:lastModifiedBy>
  <cp:revision>12</cp:revision>
  <dcterms:created xsi:type="dcterms:W3CDTF">2020-11-09T02:36:00Z</dcterms:created>
  <dcterms:modified xsi:type="dcterms:W3CDTF">2020-11-17T02:02:00Z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